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6369AE" w:rsidRDefault="00000000">
      <w:pPr>
        <w:pBdr>
          <w:top w:val="single" w:sz="4" w:space="10" w:color="0F4761"/>
          <w:left w:val="nil"/>
          <w:bottom w:val="single" w:sz="4" w:space="10" w:color="0F4761"/>
          <w:right w:val="nil"/>
          <w:between w:val="nil"/>
        </w:pBdr>
        <w:spacing w:before="360" w:after="360"/>
        <w:ind w:left="864" w:right="864"/>
        <w:jc w:val="center"/>
        <w:rPr>
          <w:b/>
          <w:bCs/>
          <w:i/>
          <w:iCs/>
          <w:color w:val="762C48"/>
          <w:sz w:val="40"/>
          <w:szCs w:val="40"/>
        </w:rPr>
      </w:pPr>
      <w:r>
        <w:rPr>
          <w:b/>
          <w:bCs/>
          <w:i/>
          <w:iCs/>
          <w:color w:val="762C48"/>
          <w:sz w:val="40"/>
          <w:szCs w:val="40"/>
        </w:rPr>
        <w:t>PDP – analýza dopadu na rozpočet</w:t>
      </w:r>
    </w:p>
    <w:p w14:paraId="00000002" w14:textId="77777777" w:rsidR="006369AE" w:rsidRDefault="00000000">
      <w:pPr>
        <w:pStyle w:val="Nadpis1"/>
        <w:numPr>
          <w:ilvl w:val="0"/>
          <w:numId w:val="1"/>
        </w:numPr>
      </w:pPr>
      <w:r>
        <w:t>Základní informace o systému PDP</w:t>
      </w:r>
    </w:p>
    <w:p w14:paraId="00000003" w14:textId="61DBDE63" w:rsidR="006369AE" w:rsidRDefault="00000000">
      <w:pPr>
        <w:pStyle w:val="Nadpis2"/>
        <w:numPr>
          <w:ilvl w:val="1"/>
          <w:numId w:val="1"/>
        </w:numPr>
        <w:ind w:hanging="432"/>
      </w:pPr>
      <w:r>
        <w:t xml:space="preserve">Popis </w:t>
      </w:r>
      <w:r w:rsidR="00ED19F2">
        <w:t>systému a hlavní určený účel</w:t>
      </w:r>
    </w:p>
    <w:p w14:paraId="00000004" w14:textId="59DF869A" w:rsidR="006369AE" w:rsidRDefault="00000000">
      <w:pPr>
        <w:jc w:val="both"/>
      </w:pPr>
      <w:r>
        <w:t>Port Delivery Platform – dále jen PDP je intraokulární systém pro kontinuální podávání léčiva, specificky navržený pro aplikaci ranibizumabu</w:t>
      </w:r>
      <w:r w:rsidR="00043450">
        <w:t xml:space="preserve">, </w:t>
      </w:r>
      <w:r>
        <w:t>100 mg/ml. Jedná se o zdravotnický prostředek (dle legislativy EU zařazený do třídy III), který je určen k permanentnímu umístění v oku.</w:t>
      </w:r>
      <w:r w:rsidR="00A15B9D">
        <w:t xml:space="preserve"> </w:t>
      </w:r>
      <w:r w:rsidR="00A15B9D">
        <w:fldChar w:fldCharType="begin" w:fldLock="1"/>
      </w:r>
      <w:r w:rsidR="00A15B9D">
        <w:instrText>ADDIN CSL_CITATION {"citationItems":[{"id":"ITEM-1","itemData":{"author":[{"dropping-particle":"","family":"Genentech Inc. A Member of the Roche Group","given":"","non-dropping-particle":"","parse-names":false,"suffix":""}],"id":"ITEM-1","issued":{"date-parts":[["2024"]]},"page":"59","publisher-place":"San Francisco","title":"Instructions For Use Port Delivery System with Ranibizumab, TEC-0124315, Version 16.0, 2024-06-19","type":"article"},"uris":["http://www.mendeley.com/documents/?uuid=047426c3-6b70-4ac3-a865-90ff8ac676f8"]},{"id":"ITEM-2","itemData":{"author":[{"dropping-particle":"","family":"F. Hoffmann-La Roche Ltd","given":"","non-dropping-particle":"","parse-names":false,"suffix":""}],"id":"ITEM-2","issued":{"date-parts":[["2024"]]},"page":"34","publisher-place":"Basel","title":"Contivue® Summary of Safety and Clinical Performance Report, SSCP Model Document Version 2.0; 06-Sep-2024","type":"article"},"uris":["http://www.mendeley.com/documents/?uuid=f76a851e-e0bc-46bd-a74b-d169d2d7eb10"]}],"mendeley":{"formattedCitation":"[1, 2]","plainTextFormattedCitation":"[1, 2]","previouslyFormattedCitation":"[1, 2]"},"properties":{"noteIndex":0},"schema":"https://github.com/citation-style-language/schema/raw/master/csl-citation.json"}</w:instrText>
      </w:r>
      <w:r w:rsidR="00A15B9D">
        <w:fldChar w:fldCharType="separate"/>
      </w:r>
      <w:r w:rsidR="00A15B9D" w:rsidRPr="00A15B9D">
        <w:rPr>
          <w:noProof/>
        </w:rPr>
        <w:t>[1, 2]</w:t>
      </w:r>
      <w:r w:rsidR="00A15B9D">
        <w:fldChar w:fldCharType="end"/>
      </w:r>
    </w:p>
    <w:p w14:paraId="00000005" w14:textId="7FCC6FF0" w:rsidR="006369AE" w:rsidRDefault="00000000">
      <w:pPr>
        <w:jc w:val="both"/>
      </w:pPr>
      <w:r>
        <w:t xml:space="preserve">Základem systému je nebiologicky rozložitelný dutý implantát o objemu přibližně 0,02 ml. </w:t>
      </w:r>
      <w:r w:rsidR="00A15B9D">
        <w:fldChar w:fldCharType="begin" w:fldLock="1"/>
      </w:r>
      <w:r w:rsidR="009636CF">
        <w:instrText>ADDIN CSL_CITATION {"citationItems":[{"id":"ITEM-1","itemData":{"DOI":"10.3390/PHARMACEUTICS16030314","ISSN":"1999-4923","PMID":"38543208","abstract":"The ranibizumab (RBZ) port delivery system (PDS) is a device designed to continuously deliver RBZ in the vitreous chamber for the treatment of neovascular age-related macular degeneration (nAMD). It is implanted during a surgical procedure and can provide sustained release of the medication for several months. This review, updated to January 2024, focuses on past clinical studies as well as current and forthcoming trials looking into a PDS with RBZ. In the phase 2 LADDER trial, the mean time to first refill of a PDS with RBZ 100 mg/mL was 15.8 months, with the pharmacokinetic (PK) profile showing a sustained concentration of RBZ in the blood and aqueous humor. More recently, a PDS with RBZ (100 mg/mL) refilled every 24 weeks was shown to be non-inferior to a monthly intravitreal injection (IVI) with RBZ (0.5 mg) over 40 and 92 weeks in the phase 3 ARCHWAY trial. The refill every 24 weeks allowed for a RBZ vitreous exposure within the concentration range of monthly intravitreal injections (IVIs), and the expected half-life (106 days) was comparable with the in vitro results. Nonetheless, vitreous hemorrhage and endophthalmitis were more common side effects in PDS patients. In conclusion, a PDS continuously delivering RBZ has a clinical effectiveness level comparable with IVI treatment. However, a greater frequency of unfavorable occurrences highlights the need for procedure optimization for a wider adoption. Ongoing trials and possible future approaches need to be addressed.","author":[{"dropping-particle":"","family":"Carlà","given":"Matteo Mario","non-dropping-particle":"","parse-names":false,"suffix":""},{"dropping-particle":"","family":"Savastano","given":"Maria Cristina","non-dropping-particle":"","parse-names":false,"suffix":""},{"dropping-particle":"","family":"Boselli","given":"Francesco","non-dropping-particle":"","parse-names":false,"suffix":""},{"dropping-particle":"","family":"Giannuzzi","given":"Federico","non-dropping-particle":"","parse-names":false,"suffix":""},{"dropping-particle":"","family":"Rizzo","given":"Stanislao","non-dropping-particle":"","parse-names":false,"suffix":""}],"container-title":"Pharmaceutics","id":"ITEM-1","issue":"3","issued":{"date-parts":[["2024","3","1"]]},"publisher":"Pharmaceutics","title":"Ranibizumab Port Delivery System in Neovascular Age-Related Macular Degeneration: Where Do We Stand? Overview of Pharmacokinetics, Clinical Results, and Future Directions","type":"article-journal","volume":"16"},"uris":["http://www.mendeley.com/documents/?uuid=cd245a02-d8b0-35f0-aeca-ddc8dfb8a522"]}],"mendeley":{"formattedCitation":"[3]","plainTextFormattedCitation":"[3]","previouslyFormattedCitation":"[3]"},"properties":{"noteIndex":0},"schema":"https://github.com/citation-style-language/schema/raw/master/csl-citation.json"}</w:instrText>
      </w:r>
      <w:r w:rsidR="00A15B9D">
        <w:fldChar w:fldCharType="separate"/>
      </w:r>
      <w:r w:rsidR="00A15B9D" w:rsidRPr="00A15B9D">
        <w:rPr>
          <w:noProof/>
        </w:rPr>
        <w:t>[3]</w:t>
      </w:r>
      <w:r w:rsidR="00A15B9D">
        <w:fldChar w:fldCharType="end"/>
      </w:r>
      <w:r w:rsidR="00174E41">
        <w:t xml:space="preserve"> </w:t>
      </w:r>
      <w:r>
        <w:t>Jeho celková délka je 8,4 mm a konstrukčně se skládá z následujících klíčových částí:</w:t>
      </w:r>
    </w:p>
    <w:p w14:paraId="00000006" w14:textId="706D9653" w:rsidR="006369AE" w:rsidRDefault="00000000">
      <w:pPr>
        <w:numPr>
          <w:ilvl w:val="0"/>
          <w:numId w:val="2"/>
        </w:numPr>
        <w:pBdr>
          <w:top w:val="nil"/>
          <w:left w:val="nil"/>
          <w:bottom w:val="nil"/>
          <w:right w:val="nil"/>
          <w:between w:val="nil"/>
        </w:pBdr>
        <w:jc w:val="both"/>
      </w:pPr>
      <w:r>
        <w:rPr>
          <w:color w:val="000000"/>
        </w:rPr>
        <w:t>Tělo (Body): Zásobník na léčivo vyrobený z polysulfonu (PSU).</w:t>
      </w:r>
      <w:r w:rsidR="009636CF">
        <w:rPr>
          <w:color w:val="000000"/>
        </w:rPr>
        <w:t xml:space="preserve"> </w:t>
      </w:r>
      <w:r w:rsidR="009636CF">
        <w:rPr>
          <w:color w:val="000000"/>
        </w:rPr>
        <w:fldChar w:fldCharType="begin" w:fldLock="1"/>
      </w:r>
      <w:r w:rsidR="009636CF">
        <w:rPr>
          <w:color w:val="000000"/>
        </w:rPr>
        <w:instrText>ADDIN CSL_CITATION {"citationItems":[{"id":"ITEM-1","itemData":{"DOI":"10.3390/PHARMACEUTICS16030314","ISSN":"1999-4923","PMID":"38543208","abstract":"The ranibizumab (RBZ) port delivery system (PDS) is a device designed to continuously deliver RBZ in the vitreous chamber for the treatment of neovascular age-related macular degeneration (nAMD). It is implanted during a surgical procedure and can provide sustained release of the medication for several months. This review, updated to January 2024, focuses on past clinical studies as well as current and forthcoming trials looking into a PDS with RBZ. In the phase 2 LADDER trial, the mean time to first refill of a PDS with RBZ 100 mg/mL was 15.8 months, with the pharmacokinetic (PK) profile showing a sustained concentration of RBZ in the blood and aqueous humor. More recently, a PDS with RBZ (100 mg/mL) refilled every 24 weeks was shown to be non-inferior to a monthly intravitreal injection (IVI) with RBZ (0.5 mg) over 40 and 92 weeks in the phase 3 ARCHWAY trial. The refill every 24 weeks allowed for a RBZ vitreous exposure within the concentration range of monthly intravitreal injections (IVIs), and the expected half-life (106 days) was comparable with the in vitro results. Nonetheless, vitreous hemorrhage and endophthalmitis were more common side effects in PDS patients. In conclusion, a PDS continuously delivering RBZ has a clinical effectiveness level comparable with IVI treatment. However, a greater frequency of unfavorable occurrences highlights the need for procedure optimization for a wider adoption. Ongoing trials and possible future approaches need to be addressed.","author":[{"dropping-particle":"","family":"Carlà","given":"Matteo Mario","non-dropping-particle":"","parse-names":false,"suffix":""},{"dropping-particle":"","family":"Savastano","given":"Maria Cristina","non-dropping-particle":"","parse-names":false,"suffix":""},{"dropping-particle":"","family":"Boselli","given":"Francesco","non-dropping-particle":"","parse-names":false,"suffix":""},{"dropping-particle":"","family":"Giannuzzi","given":"Federico","non-dropping-particle":"","parse-names":false,"suffix":""},{"dropping-particle":"","family":"Rizzo","given":"Stanislao","non-dropping-particle":"","parse-names":false,"suffix":""}],"container-title":"Pharmaceutics","id":"ITEM-1","issue":"3","issued":{"date-parts":[["2024","3","1"]]},"publisher":"Pharmaceutics","title":"Ranibizumab Port Delivery System in Neovascular Age-Related Macular Degeneration: Where Do We Stand? Overview of Pharmacokinetics, Clinical Results, and Future Directions","type":"article-journal","volume":"16"},"uris":["http://www.mendeley.com/documents/?uuid=cd245a02-d8b0-35f0-aeca-ddc8dfb8a522"]},{"id":"ITEM-2","itemData":{"author":[{"dropping-particle":"","family":"F. Hoffmann-La Roche Ltd.","given":"","non-dropping-particle":"","parse-names":false,"suffix":""}],"id":"ITEM-2","issued":{"date-parts":[["2025"]]},"page":"91","publisher-place":"Basel","title":"TEC-0210835: Appendix A: Master IFU for EU/ROW Initial fill and Insertion Procedure – Manuscript","type":"article"},"uris":["http://www.mendeley.com/documents/?uuid=b89206b9-7bc5-4d72-a8cf-775fbda72db4"]}],"mendeley":{"formattedCitation":"[3, 4]","plainTextFormattedCitation":"[3, 4]","previouslyFormattedCitation":"[3, 4]"},"properties":{"noteIndex":0},"schema":"https://github.com/citation-style-language/schema/raw/master/csl-citation.json"}</w:instrText>
      </w:r>
      <w:r w:rsidR="009636CF">
        <w:rPr>
          <w:color w:val="000000"/>
        </w:rPr>
        <w:fldChar w:fldCharType="separate"/>
      </w:r>
      <w:r w:rsidR="009636CF" w:rsidRPr="009636CF">
        <w:rPr>
          <w:noProof/>
          <w:color w:val="000000"/>
        </w:rPr>
        <w:t>[3, 4]</w:t>
      </w:r>
      <w:r w:rsidR="009636CF">
        <w:rPr>
          <w:color w:val="000000"/>
        </w:rPr>
        <w:fldChar w:fldCharType="end"/>
      </w:r>
    </w:p>
    <w:p w14:paraId="00000007" w14:textId="639FB5D0" w:rsidR="006369AE" w:rsidRDefault="00000000">
      <w:pPr>
        <w:numPr>
          <w:ilvl w:val="0"/>
          <w:numId w:val="2"/>
        </w:numPr>
        <w:pBdr>
          <w:top w:val="nil"/>
          <w:left w:val="nil"/>
          <w:bottom w:val="nil"/>
          <w:right w:val="nil"/>
          <w:between w:val="nil"/>
        </w:pBdr>
        <w:jc w:val="both"/>
      </w:pPr>
      <w:r>
        <w:rPr>
          <w:color w:val="000000"/>
        </w:rPr>
        <w:t>Extrasklerální příruba (Extrascleral flange): Širší vnější část (4,6 mm) obalená v silikonu, která zajišťuje bezpečné ukotvení implantátu ve skléře.</w:t>
      </w:r>
      <w:r w:rsidR="009636CF">
        <w:rPr>
          <w:color w:val="000000"/>
        </w:rPr>
        <w:t xml:space="preserve"> </w:t>
      </w:r>
      <w:r w:rsidR="009636CF">
        <w:rPr>
          <w:color w:val="000000"/>
        </w:rPr>
        <w:fldChar w:fldCharType="begin" w:fldLock="1"/>
      </w:r>
      <w:r w:rsidR="009636CF">
        <w:rPr>
          <w:color w:val="000000"/>
        </w:rPr>
        <w:instrText>ADDIN CSL_CITATION {"citationItems":[{"id":"ITEM-1","itemData":{"DOI":"10.3390/PHARMACEUTICS16030314","ISSN":"1999-4923","PMID":"38543208","abstract":"The ranibizumab (RBZ) port delivery system (PDS) is a device designed to continuously deliver RBZ in the vitreous chamber for the treatment of neovascular age-related macular degeneration (nAMD). It is implanted during a surgical procedure and can provide sustained release of the medication for several months. This review, updated to January 2024, focuses on past clinical studies as well as current and forthcoming trials looking into a PDS with RBZ. In the phase 2 LADDER trial, the mean time to first refill of a PDS with RBZ 100 mg/mL was 15.8 months, with the pharmacokinetic (PK) profile showing a sustained concentration of RBZ in the blood and aqueous humor. More recently, a PDS with RBZ (100 mg/mL) refilled every 24 weeks was shown to be non-inferior to a monthly intravitreal injection (IVI) with RBZ (0.5 mg) over 40 and 92 weeks in the phase 3 ARCHWAY trial. The refill every 24 weeks allowed for a RBZ vitreous exposure within the concentration range of monthly intravitreal injections (IVIs), and the expected half-life (106 days) was comparable with the in vitro results. Nonetheless, vitreous hemorrhage and endophthalmitis were more common side effects in PDS patients. In conclusion, a PDS continuously delivering RBZ has a clinical effectiveness level comparable with IVI treatment. However, a greater frequency of unfavorable occurrences highlights the need for procedure optimization for a wider adoption. Ongoing trials and possible future approaches need to be addressed.","author":[{"dropping-particle":"","family":"Carlà","given":"Matteo Mario","non-dropping-particle":"","parse-names":false,"suffix":""},{"dropping-particle":"","family":"Savastano","given":"Maria Cristina","non-dropping-particle":"","parse-names":false,"suffix":""},{"dropping-particle":"","family":"Boselli","given":"Francesco","non-dropping-particle":"","parse-names":false,"suffix":""},{"dropping-particle":"","family":"Giannuzzi","given":"Federico","non-dropping-particle":"","parse-names":false,"suffix":""},{"dropping-particle":"","family":"Rizzo","given":"Stanislao","non-dropping-particle":"","parse-names":false,"suffix":""}],"container-title":"Pharmaceutics","id":"ITEM-1","issue":"3","issued":{"date-parts":[["2024","3","1"]]},"publisher":"Pharmaceutics","title":"Ranibizumab Port Delivery System in Neovascular Age-Related Macular Degeneration: Where Do We Stand? Overview of Pharmacokinetics, Clinical Results, and Future Directions","type":"article-journal","volume":"16"},"uris":["http://www.mendeley.com/documents/?uuid=cd245a02-d8b0-35f0-aeca-ddc8dfb8a522"]}],"mendeley":{"formattedCitation":"[3]","plainTextFormattedCitation":"[3]","previouslyFormattedCitation":"[3]"},"properties":{"noteIndex":0},"schema":"https://github.com/citation-style-language/schema/raw/master/csl-citation.json"}</w:instrText>
      </w:r>
      <w:r w:rsidR="009636CF">
        <w:rPr>
          <w:color w:val="000000"/>
        </w:rPr>
        <w:fldChar w:fldCharType="separate"/>
      </w:r>
      <w:r w:rsidR="009636CF" w:rsidRPr="009636CF">
        <w:rPr>
          <w:noProof/>
          <w:color w:val="000000"/>
        </w:rPr>
        <w:t>[3]</w:t>
      </w:r>
      <w:r w:rsidR="009636CF">
        <w:rPr>
          <w:color w:val="000000"/>
        </w:rPr>
        <w:fldChar w:fldCharType="end"/>
      </w:r>
    </w:p>
    <w:p w14:paraId="00000008" w14:textId="1D398EAC" w:rsidR="006369AE" w:rsidRDefault="00000000">
      <w:pPr>
        <w:numPr>
          <w:ilvl w:val="0"/>
          <w:numId w:val="2"/>
        </w:numPr>
        <w:pBdr>
          <w:top w:val="nil"/>
          <w:left w:val="nil"/>
          <w:bottom w:val="nil"/>
          <w:right w:val="nil"/>
          <w:between w:val="nil"/>
        </w:pBdr>
        <w:jc w:val="both"/>
      </w:pPr>
      <w:r>
        <w:rPr>
          <w:color w:val="000000"/>
        </w:rPr>
        <w:t>Septum: Samouzavírací silikonové rozhraní umístěné ve středu příruby, které zůstává přístupné pod spojivkou a umožňuje opakované doplňování (refill) léčiva pomocí speciální jehly.</w:t>
      </w:r>
      <w:r w:rsidR="009636CF">
        <w:rPr>
          <w:color w:val="000000"/>
        </w:rPr>
        <w:t xml:space="preserve"> </w:t>
      </w:r>
      <w:r w:rsidR="009636CF">
        <w:rPr>
          <w:color w:val="000000"/>
        </w:rPr>
        <w:fldChar w:fldCharType="begin" w:fldLock="1"/>
      </w:r>
      <w:r w:rsidR="009636CF">
        <w:rPr>
          <w:color w:val="000000"/>
        </w:rPr>
        <w:instrText>ADDIN CSL_CITATION {"citationItems":[{"id":"ITEM-1","itemData":{"DOI":"10.3390/PHARMACEUTICS16030314","ISSN":"1999-4923","PMID":"38543208","abstract":"The ranibizumab (RBZ) port delivery system (PDS) is a device designed to continuously deliver RBZ in the vitreous chamber for the treatment of neovascular age-related macular degeneration (nAMD). It is implanted during a surgical procedure and can provide sustained release of the medication for several months. This review, updated to January 2024, focuses on past clinical studies as well as current and forthcoming trials looking into a PDS with RBZ. In the phase 2 LADDER trial, the mean time to first refill of a PDS with RBZ 100 mg/mL was 15.8 months, with the pharmacokinetic (PK) profile showing a sustained concentration of RBZ in the blood and aqueous humor. More recently, a PDS with RBZ (100 mg/mL) refilled every 24 weeks was shown to be non-inferior to a monthly intravitreal injection (IVI) with RBZ (0.5 mg) over 40 and 92 weeks in the phase 3 ARCHWAY trial. The refill every 24 weeks allowed for a RBZ vitreous exposure within the concentration range of monthly intravitreal injections (IVIs), and the expected half-life (106 days) was comparable with the in vitro results. Nonetheless, vitreous hemorrhage and endophthalmitis were more common side effects in PDS patients. In conclusion, a PDS continuously delivering RBZ has a clinical effectiveness level comparable with IVI treatment. However, a greater frequency of unfavorable occurrences highlights the need for procedure optimization for a wider adoption. Ongoing trials and possible future approaches need to be addressed.","author":[{"dropping-particle":"","family":"Carlà","given":"Matteo Mario","non-dropping-particle":"","parse-names":false,"suffix":""},{"dropping-particle":"","family":"Savastano","given":"Maria Cristina","non-dropping-particle":"","parse-names":false,"suffix":""},{"dropping-particle":"","family":"Boselli","given":"Francesco","non-dropping-particle":"","parse-names":false,"suffix":""},{"dropping-particle":"","family":"Giannuzzi","given":"Federico","non-dropping-particle":"","parse-names":false,"suffix":""},{"dropping-particle":"","family":"Rizzo","given":"Stanislao","non-dropping-particle":"","parse-names":false,"suffix":""}],"container-title":"Pharmaceutics","id":"ITEM-1","issue":"3","issued":{"date-parts":[["2024","3","1"]]},"publisher":"Pharmaceutics","title":"Ranibizumab Port Delivery System in Neovascular Age-Related Macular Degeneration: Where Do We Stand? Overview of Pharmacokinetics, Clinical Results, and Future Directions","type":"article-journal","volume":"16"},"uris":["http://www.mendeley.com/documents/?uuid=cd245a02-d8b0-35f0-aeca-ddc8dfb8a522"]}],"mendeley":{"formattedCitation":"[3]","plainTextFormattedCitation":"[3]","previouslyFormattedCitation":"[3]"},"properties":{"noteIndex":0},"schema":"https://github.com/citation-style-language/schema/raw/master/csl-citation.json"}</w:instrText>
      </w:r>
      <w:r w:rsidR="009636CF">
        <w:rPr>
          <w:color w:val="000000"/>
        </w:rPr>
        <w:fldChar w:fldCharType="separate"/>
      </w:r>
      <w:r w:rsidR="009636CF" w:rsidRPr="009636CF">
        <w:rPr>
          <w:noProof/>
          <w:color w:val="000000"/>
        </w:rPr>
        <w:t>[3]</w:t>
      </w:r>
      <w:r w:rsidR="009636CF">
        <w:rPr>
          <w:color w:val="000000"/>
        </w:rPr>
        <w:fldChar w:fldCharType="end"/>
      </w:r>
    </w:p>
    <w:p w14:paraId="00000009" w14:textId="4281199D" w:rsidR="006369AE" w:rsidRDefault="00000000">
      <w:pPr>
        <w:numPr>
          <w:ilvl w:val="0"/>
          <w:numId w:val="2"/>
        </w:numPr>
        <w:pBdr>
          <w:top w:val="nil"/>
          <w:left w:val="nil"/>
          <w:bottom w:val="nil"/>
          <w:right w:val="nil"/>
          <w:between w:val="nil"/>
        </w:pBdr>
        <w:jc w:val="both"/>
      </w:pPr>
      <w:r>
        <w:rPr>
          <w:color w:val="000000"/>
        </w:rPr>
        <w:t xml:space="preserve">Prvek pro kontrolu uvolňování (Release control element): Titanová polopropustná část na špičce implantátu (2,6 mm), která zasahuje do sklivce a využívá pasivní difuzi k plynulému a řízenému uvolňování </w:t>
      </w:r>
      <w:r w:rsidR="00174E41">
        <w:rPr>
          <w:color w:val="000000"/>
        </w:rPr>
        <w:t>léčiva</w:t>
      </w:r>
      <w:r>
        <w:rPr>
          <w:color w:val="000000"/>
        </w:rPr>
        <w:t>.</w:t>
      </w:r>
      <w:r w:rsidR="009636CF">
        <w:rPr>
          <w:color w:val="000000"/>
        </w:rPr>
        <w:t xml:space="preserve"> </w:t>
      </w:r>
      <w:r w:rsidR="009636CF">
        <w:rPr>
          <w:color w:val="000000"/>
        </w:rPr>
        <w:fldChar w:fldCharType="begin" w:fldLock="1"/>
      </w:r>
      <w:r w:rsidR="009636CF">
        <w:rPr>
          <w:color w:val="000000"/>
        </w:rPr>
        <w:instrText>ADDIN CSL_CITATION {"citationItems":[{"id":"ITEM-1","itemData":{"DOI":"10.3390/PHARMACEUTICS16030314","ISSN":"1999-4923","PMID":"38543208","abstract":"The ranibizumab (RBZ) port delivery system (PDS) is a device designed to continuously deliver RBZ in the vitreous chamber for the treatment of neovascular age-related macular degeneration (nAMD). It is implanted during a surgical procedure and can provide sustained release of the medication for several months. This review, updated to January 2024, focuses on past clinical studies as well as current and forthcoming trials looking into a PDS with RBZ. In the phase 2 LADDER trial, the mean time to first refill of a PDS with RBZ 100 mg/mL was 15.8 months, with the pharmacokinetic (PK) profile showing a sustained concentration of RBZ in the blood and aqueous humor. More recently, a PDS with RBZ (100 mg/mL) refilled every 24 weeks was shown to be non-inferior to a monthly intravitreal injection (IVI) with RBZ (0.5 mg) over 40 and 92 weeks in the phase 3 ARCHWAY trial. The refill every 24 weeks allowed for a RBZ vitreous exposure within the concentration range of monthly intravitreal injections (IVIs), and the expected half-life (106 days) was comparable with the in vitro results. Nonetheless, vitreous hemorrhage and endophthalmitis were more common side effects in PDS patients. In conclusion, a PDS continuously delivering RBZ has a clinical effectiveness level comparable with IVI treatment. However, a greater frequency of unfavorable occurrences highlights the need for procedure optimization for a wider adoption. Ongoing trials and possible future approaches need to be addressed.","author":[{"dropping-particle":"","family":"Carlà","given":"Matteo Mario","non-dropping-particle":"","parse-names":false,"suffix":""},{"dropping-particle":"","family":"Savastano","given":"Maria Cristina","non-dropping-particle":"","parse-names":false,"suffix":""},{"dropping-particle":"","family":"Boselli","given":"Francesco","non-dropping-particle":"","parse-names":false,"suffix":""},{"dropping-particle":"","family":"Giannuzzi","given":"Federico","non-dropping-particle":"","parse-names":false,"suffix":""},{"dropping-particle":"","family":"Rizzo","given":"Stanislao","non-dropping-particle":"","parse-names":false,"suffix":""}],"container-title":"Pharmaceutics","id":"ITEM-1","issue":"3","issued":{"date-parts":[["2024","3","1"]]},"publisher":"Pharmaceutics","title":"Ranibizumab Port Delivery System in Neovascular Age-Related Macular Degeneration: Where Do We Stand? Overview of Pharmacokinetics, Clinical Results, and Future Directions","type":"article-journal","volume":"16"},"uris":["http://www.mendeley.com/documents/?uuid=cd245a02-d8b0-35f0-aeca-ddc8dfb8a522"]}],"mendeley":{"formattedCitation":"[3]","plainTextFormattedCitation":"[3]","previouslyFormattedCitation":"[3]"},"properties":{"noteIndex":0},"schema":"https://github.com/citation-style-language/schema/raw/master/csl-citation.json"}</w:instrText>
      </w:r>
      <w:r w:rsidR="009636CF">
        <w:rPr>
          <w:color w:val="000000"/>
        </w:rPr>
        <w:fldChar w:fldCharType="separate"/>
      </w:r>
      <w:r w:rsidR="009636CF" w:rsidRPr="009636CF">
        <w:rPr>
          <w:noProof/>
          <w:color w:val="000000"/>
        </w:rPr>
        <w:t>[3]</w:t>
      </w:r>
      <w:r w:rsidR="009636CF">
        <w:rPr>
          <w:color w:val="000000"/>
        </w:rPr>
        <w:fldChar w:fldCharType="end"/>
      </w:r>
    </w:p>
    <w:p w14:paraId="0000000A" w14:textId="77777777" w:rsidR="006369AE" w:rsidRDefault="006369AE">
      <w:pPr>
        <w:jc w:val="both"/>
      </w:pPr>
    </w:p>
    <w:p w14:paraId="6E482A6A" w14:textId="77777777" w:rsidR="00ED19F2" w:rsidRDefault="00ED19F2" w:rsidP="00ED19F2">
      <w:pPr>
        <w:jc w:val="both"/>
      </w:pPr>
      <w:r>
        <w:t>PDP se skládá z těchto částí:</w:t>
      </w:r>
    </w:p>
    <w:p w14:paraId="61902276" w14:textId="77777777" w:rsidR="00ED19F2" w:rsidRDefault="00ED19F2" w:rsidP="00ED19F2">
      <w:pPr>
        <w:numPr>
          <w:ilvl w:val="0"/>
          <w:numId w:val="6"/>
        </w:numPr>
        <w:pBdr>
          <w:top w:val="nil"/>
          <w:left w:val="nil"/>
          <w:bottom w:val="nil"/>
          <w:right w:val="nil"/>
          <w:between w:val="nil"/>
        </w:pBdr>
        <w:jc w:val="both"/>
        <w:rPr>
          <w:color w:val="333333"/>
        </w:rPr>
      </w:pPr>
      <w:r>
        <w:rPr>
          <w:color w:val="000000"/>
        </w:rPr>
        <w:t xml:space="preserve">Implantát se sadou nástrojů k zavedení implantátu </w:t>
      </w:r>
    </w:p>
    <w:p w14:paraId="7186EFBE" w14:textId="6DC084C8" w:rsidR="00ED19F2" w:rsidRDefault="00ED19F2" w:rsidP="00ED19F2">
      <w:pPr>
        <w:numPr>
          <w:ilvl w:val="0"/>
          <w:numId w:val="5"/>
        </w:numPr>
        <w:pBdr>
          <w:top w:val="nil"/>
          <w:left w:val="nil"/>
          <w:bottom w:val="nil"/>
          <w:right w:val="nil"/>
          <w:between w:val="nil"/>
        </w:pBdr>
        <w:jc w:val="both"/>
        <w:rPr>
          <w:color w:val="000000"/>
        </w:rPr>
      </w:pPr>
      <w:r>
        <w:rPr>
          <w:color w:val="000000"/>
        </w:rPr>
        <w:t>Jehla pro prv</w:t>
      </w:r>
      <w:r w:rsidR="00174E41">
        <w:rPr>
          <w:color w:val="000000"/>
        </w:rPr>
        <w:t>otní</w:t>
      </w:r>
      <w:r>
        <w:rPr>
          <w:color w:val="000000"/>
        </w:rPr>
        <w:t xml:space="preserve"> naplnění</w:t>
      </w:r>
    </w:p>
    <w:p w14:paraId="60A834EC" w14:textId="77777777" w:rsidR="00ED19F2" w:rsidRDefault="00ED19F2" w:rsidP="00ED19F2">
      <w:pPr>
        <w:numPr>
          <w:ilvl w:val="0"/>
          <w:numId w:val="5"/>
        </w:numPr>
        <w:pBdr>
          <w:top w:val="nil"/>
          <w:left w:val="nil"/>
          <w:bottom w:val="nil"/>
          <w:right w:val="nil"/>
          <w:between w:val="nil"/>
        </w:pBdr>
        <w:jc w:val="both"/>
        <w:rPr>
          <w:color w:val="000000"/>
        </w:rPr>
      </w:pPr>
      <w:r>
        <w:rPr>
          <w:color w:val="000000"/>
        </w:rPr>
        <w:t>Doplňovací jehla PDP</w:t>
      </w:r>
    </w:p>
    <w:p w14:paraId="300326F7" w14:textId="0DB2EA50" w:rsidR="00ED19F2" w:rsidRDefault="00ED19F2" w:rsidP="00ED19F2">
      <w:pPr>
        <w:numPr>
          <w:ilvl w:val="0"/>
          <w:numId w:val="5"/>
        </w:numPr>
        <w:pBdr>
          <w:top w:val="nil"/>
          <w:left w:val="nil"/>
          <w:bottom w:val="nil"/>
          <w:right w:val="nil"/>
          <w:between w:val="nil"/>
        </w:pBdr>
        <w:jc w:val="both"/>
        <w:rPr>
          <w:color w:val="000000"/>
        </w:rPr>
      </w:pPr>
      <w:r>
        <w:rPr>
          <w:color w:val="000000"/>
        </w:rPr>
        <w:t xml:space="preserve">Nástroj pro vyjmutí </w:t>
      </w:r>
      <w:r w:rsidR="00174E41">
        <w:rPr>
          <w:color w:val="000000"/>
        </w:rPr>
        <w:t>implantátu</w:t>
      </w:r>
    </w:p>
    <w:p w14:paraId="03FA946C" w14:textId="77777777" w:rsidR="00ED19F2" w:rsidRDefault="00ED19F2" w:rsidP="00ED19F2">
      <w:pPr>
        <w:jc w:val="both"/>
      </w:pPr>
    </w:p>
    <w:p w14:paraId="3F1C99AC" w14:textId="23D3CA11" w:rsidR="00ED19F2" w:rsidRDefault="00ED19F2" w:rsidP="00ED19F2">
      <w:pPr>
        <w:jc w:val="both"/>
      </w:pPr>
      <w:r>
        <w:t>.</w:t>
      </w:r>
    </w:p>
    <w:p w14:paraId="47403C4B" w14:textId="19BA6E00" w:rsidR="00ED19F2" w:rsidRDefault="00ED19F2" w:rsidP="00ED19F2">
      <w:pPr>
        <w:jc w:val="both"/>
      </w:pPr>
      <w:r>
        <w:t>Všechny použité materiály (polysulfon, titan, silikon, epoxid) byly podrobeny extenzivnímu testování, jsou plně biokompatibilní a neobsahují žádné známé karcinogenní, mutagenní ani pro reprodukci toxické látky. Implantát je navíc v těle podmíněně bezpečný při vyšetření magnetickou rezonancí (MR Conditional).</w:t>
      </w:r>
      <w:r w:rsidR="009636CF">
        <w:t xml:space="preserve"> </w:t>
      </w:r>
      <w:r w:rsidR="009636CF">
        <w:fldChar w:fldCharType="begin" w:fldLock="1"/>
      </w:r>
      <w:r w:rsidR="006C7C9F">
        <w:instrText>ADDIN CSL_CITATION {"citationItems":[{"id":"ITEM-1","itemData":{"author":[{"dropping-particle":"","family":"Genentech Inc. A Member of the Roche Group","given":"","non-dropping-particle":"","parse-names":false,"suffix":""}],"id":"ITEM-1","issued":{"date-parts":[["2024"]]},"page":"59","publisher-place":"San Francisco","title":"Instructions For Use Port Delivery System with Ranibizumab, TEC-0124315, Version 16.0, 2024-06-19","type":"article"},"uris":["http://www.mendeley.com/documents/?uuid=047426c3-6b70-4ac3-a865-90ff8ac676f8"]}],"mendeley":{"formattedCitation":"[1]","plainTextFormattedCitation":"[1]","previouslyFormattedCitation":"[1]"},"properties":{"noteIndex":0},"schema":"https://github.com/citation-style-language/schema/raw/master/csl-citation.json"}</w:instrText>
      </w:r>
      <w:r w:rsidR="009636CF">
        <w:fldChar w:fldCharType="separate"/>
      </w:r>
      <w:r w:rsidR="009636CF" w:rsidRPr="009636CF">
        <w:rPr>
          <w:noProof/>
        </w:rPr>
        <w:t>[1]</w:t>
      </w:r>
      <w:r w:rsidR="009636CF">
        <w:fldChar w:fldCharType="end"/>
      </w:r>
    </w:p>
    <w:p w14:paraId="646D03B4" w14:textId="77777777" w:rsidR="00D730CE" w:rsidRDefault="00D730CE">
      <w:pPr>
        <w:jc w:val="both"/>
      </w:pPr>
    </w:p>
    <w:p w14:paraId="085DB49E" w14:textId="3B3DA444" w:rsidR="00ED19F2" w:rsidRDefault="00ED19F2" w:rsidP="00ED19F2">
      <w:pPr>
        <w:pStyle w:val="Nadpis2"/>
        <w:numPr>
          <w:ilvl w:val="1"/>
          <w:numId w:val="1"/>
        </w:numPr>
      </w:pPr>
      <w:r>
        <w:t>Současný stav problematiky</w:t>
      </w:r>
    </w:p>
    <w:p w14:paraId="23149C5F" w14:textId="3AAE2525" w:rsidR="00D6755E" w:rsidRPr="00D06F7E" w:rsidRDefault="00D6755E" w:rsidP="00D06F7E">
      <w:pPr>
        <w:jc w:val="both"/>
        <w:rPr>
          <w:lang w:val="cs-CZ"/>
        </w:rPr>
      </w:pPr>
      <w:r>
        <w:rPr>
          <w:lang w:val="cs-CZ"/>
        </w:rPr>
        <w:t>S</w:t>
      </w:r>
      <w:r w:rsidRPr="00D6755E">
        <w:rPr>
          <w:lang w:val="cs-CZ"/>
        </w:rPr>
        <w:t>tandardní léčba neovaskulární věkem podmíněné makulární degenerace (nAMD</w:t>
      </w:r>
      <w:r>
        <w:rPr>
          <w:lang w:val="cs-CZ"/>
        </w:rPr>
        <w:t>/VPMD</w:t>
      </w:r>
      <w:r w:rsidRPr="00D6755E">
        <w:rPr>
          <w:lang w:val="cs-CZ"/>
        </w:rPr>
        <w:t xml:space="preserve">) a diabetického makulárního edému (DME) spočívá v častých (často i měsíčních) intravitreálních injekcích anti-VEGF preparátů (např. ranibizumab, aflibercept). Tato nutnost neustálých návštěv představuje </w:t>
      </w:r>
      <w:r w:rsidRPr="00D06F7E">
        <w:rPr>
          <w:lang w:val="cs-CZ"/>
        </w:rPr>
        <w:t xml:space="preserve">obrovskou časovou a finanční zátěž pro pacienty i jejich rodiny a pečovatele. </w:t>
      </w:r>
      <w:r w:rsidRPr="00D6755E">
        <w:rPr>
          <w:lang w:val="cs-CZ"/>
        </w:rPr>
        <w:t xml:space="preserve">V reálné klinické praxi to vede k podléčování, pacientům jsou injekce podávány </w:t>
      </w:r>
      <w:r w:rsidRPr="00D6755E">
        <w:rPr>
          <w:lang w:val="cs-CZ"/>
        </w:rPr>
        <w:lastRenderedPageBreak/>
        <w:t xml:space="preserve">méně často, a proto dosahují </w:t>
      </w:r>
      <w:r w:rsidRPr="00D06F7E">
        <w:rPr>
          <w:lang w:val="cs-CZ"/>
        </w:rPr>
        <w:t>horších zrakových výsledků než v přísně kontrolovaných klinických studiích.</w:t>
      </w:r>
    </w:p>
    <w:p w14:paraId="68BFB11D" w14:textId="6B2F7EE4" w:rsidR="00D6755E" w:rsidRPr="006C7C9F" w:rsidRDefault="00D6755E" w:rsidP="006C7C9F">
      <w:pPr>
        <w:rPr>
          <w:rFonts w:ascii="Times New Roman" w:eastAsia="Times New Roman" w:hAnsi="Times New Roman" w:cs="Times New Roman"/>
          <w:sz w:val="24"/>
          <w:szCs w:val="24"/>
          <w:lang w:val="cs-CZ"/>
        </w:rPr>
      </w:pPr>
      <w:r w:rsidRPr="00D6755E">
        <w:rPr>
          <w:lang w:val="cs-CZ"/>
        </w:rPr>
        <w:t xml:space="preserve">Systém Port Delivery </w:t>
      </w:r>
      <w:r w:rsidR="00D06F7E">
        <w:rPr>
          <w:lang w:val="cs-CZ"/>
        </w:rPr>
        <w:t>Platform</w:t>
      </w:r>
      <w:r w:rsidRPr="00D6755E">
        <w:rPr>
          <w:lang w:val="cs-CZ"/>
        </w:rPr>
        <w:t xml:space="preserve"> (PD</w:t>
      </w:r>
      <w:r w:rsidR="00D06F7E">
        <w:rPr>
          <w:lang w:val="cs-CZ"/>
        </w:rPr>
        <w:t>P</w:t>
      </w:r>
      <w:r w:rsidRPr="00D6755E">
        <w:rPr>
          <w:lang w:val="cs-CZ"/>
        </w:rPr>
        <w:t>) byl vyvinut s cílem tento zásadní problém vyřešit. PD</w:t>
      </w:r>
      <w:r w:rsidR="00D06F7E">
        <w:rPr>
          <w:lang w:val="cs-CZ"/>
        </w:rPr>
        <w:t>P</w:t>
      </w:r>
      <w:r w:rsidRPr="00D6755E">
        <w:rPr>
          <w:lang w:val="cs-CZ"/>
        </w:rPr>
        <w:t xml:space="preserve"> je trvale implantovaný rezervoár v oku, </w:t>
      </w:r>
      <w:r w:rsidRPr="00D06F7E">
        <w:rPr>
          <w:lang w:val="cs-CZ"/>
        </w:rPr>
        <w:t>který kontinuálně uvolňuje lék do sklivce a chirurgicky se doplňuje obvykle jednou za půl roku.</w:t>
      </w:r>
      <w:r w:rsidR="006C7C9F" w:rsidRPr="006C7C9F">
        <w:rPr>
          <w:lang w:val="cs-CZ"/>
        </w:rPr>
        <w:t xml:space="preserve"> </w:t>
      </w:r>
      <w:r w:rsidR="006C7C9F" w:rsidRPr="006C7C9F">
        <w:rPr>
          <w:lang w:val="cs-CZ"/>
        </w:rPr>
        <w:fldChar w:fldCharType="begin" w:fldLock="1"/>
      </w:r>
      <w:r w:rsidR="006C7C9F" w:rsidRPr="006C7C9F">
        <w:rPr>
          <w:lang w:val="cs-CZ"/>
        </w:rPr>
        <w:instrText>ADDIN CSL_CITATION {"citationItems":[{"id":"ITEM-1","itemData":{"author":[{"dropping-particle":"","family":"Genentech Inc. A Member of the Roche Group","given":"","non-dropping-particle":"","parse-names":false,"suffix":""}],"id":"ITEM-1","issued":{"date-parts":[["2024"]]},"page":"59","publisher-place":"San Francisco","title":"Instructions For Use Port Delivery System with Ranibizumab, TEC-0124315, Version 16.0, 2024-06-19","type":"article"},"uris":["http://www.mendeley.com/documents/?uuid=047426c3-6b70-4ac3-a865-90ff8ac676f8"]},{"id":"ITEM-2","itemData":{"author":[{"dropping-particle":"","family":"F. Hoffmann-La Roche Ltd","given":"","non-dropping-particle":"","parse-names":false,"suffix":""}],"id":"ITEM-2","issued":{"date-parts":[["2024"]]},"page":"34","publisher-place":"Basel","title":"Contivue® Summary of Safety and Clinical Performance Report, SSCP Model Document Version 2.0; 06-Sep-2024","type":"article"},"uris":["http://www.mendeley.com/documents/?uuid=f76a851e-e0bc-46bd-a74b-d169d2d7eb10"]}],"mendeley":{"formattedCitation":"[1, 2]","plainTextFormattedCitation":"[1, 2]","previouslyFormattedCitation":"[1, 2]"},"properties":{"noteIndex":0},"schema":"https://github.com/citation-style-language/schema/raw/master/csl-citation.json"}</w:instrText>
      </w:r>
      <w:r w:rsidR="006C7C9F" w:rsidRPr="006C7C9F">
        <w:rPr>
          <w:lang w:val="cs-CZ"/>
        </w:rPr>
        <w:fldChar w:fldCharType="separate"/>
      </w:r>
      <w:r w:rsidR="006C7C9F" w:rsidRPr="006C7C9F">
        <w:rPr>
          <w:noProof/>
          <w:lang w:val="cs-CZ"/>
        </w:rPr>
        <w:t>[1, 2]</w:t>
      </w:r>
      <w:r w:rsidR="006C7C9F" w:rsidRPr="006C7C9F">
        <w:rPr>
          <w:lang w:val="cs-CZ"/>
        </w:rPr>
        <w:fldChar w:fldCharType="end"/>
      </w:r>
    </w:p>
    <w:p w14:paraId="15D10D8B" w14:textId="77777777" w:rsidR="00D06F7E" w:rsidRPr="00D06F7E" w:rsidRDefault="00D06F7E" w:rsidP="00D06F7E">
      <w:pPr>
        <w:rPr>
          <w:lang w:val="cs-CZ"/>
        </w:rPr>
      </w:pPr>
    </w:p>
    <w:p w14:paraId="1E765BFB" w14:textId="42084614" w:rsidR="00D06F7E" w:rsidRPr="00D06F7E" w:rsidRDefault="00D6755E" w:rsidP="00D06F7E">
      <w:pPr>
        <w:jc w:val="both"/>
        <w:rPr>
          <w:lang w:val="cs-CZ"/>
        </w:rPr>
      </w:pPr>
      <w:r w:rsidRPr="00D6755E">
        <w:rPr>
          <w:lang w:val="cs-CZ"/>
        </w:rPr>
        <w:t>Srovnání PD</w:t>
      </w:r>
      <w:r w:rsidR="00490948">
        <w:rPr>
          <w:lang w:val="cs-CZ"/>
        </w:rPr>
        <w:t>P</w:t>
      </w:r>
      <w:r w:rsidRPr="00D6755E">
        <w:rPr>
          <w:lang w:val="cs-CZ"/>
        </w:rPr>
        <w:t xml:space="preserve"> s ostatními komparátory (především s klasickými měsíčními injekcemi ranibizumabu či jinými anti-VEGF léky) lze shrnout do několika klíčových bodů:</w:t>
      </w:r>
    </w:p>
    <w:p w14:paraId="3B9AB2E7" w14:textId="79B6D726" w:rsidR="009636CF" w:rsidRPr="009636CF" w:rsidRDefault="009636CF" w:rsidP="00D06F7E">
      <w:pPr>
        <w:jc w:val="both"/>
        <w:rPr>
          <w:lang w:val="cs-CZ"/>
        </w:rPr>
      </w:pPr>
      <w:r w:rsidRPr="009636CF">
        <w:rPr>
          <w:b/>
          <w:bCs/>
          <w:lang w:val="cs-CZ"/>
        </w:rPr>
        <w:t>1. Radikální snížení léčebné zátěže (Treatment burden)</w:t>
      </w:r>
      <w:r w:rsidR="00D06F7E">
        <w:rPr>
          <w:b/>
          <w:bCs/>
          <w:lang w:val="cs-CZ"/>
        </w:rPr>
        <w:t>:</w:t>
      </w:r>
      <w:r w:rsidRPr="009636CF">
        <w:rPr>
          <w:lang w:val="cs-CZ"/>
        </w:rPr>
        <w:t xml:space="preserve"> Zatímco současný standard léčby </w:t>
      </w:r>
      <w:r w:rsidRPr="00D06F7E">
        <w:t>vyžaduje velmi časté, obvykle měsíční injekce do oka, platforma PDP tyto neustálé návštěvy eliminuje. Po primárním chirurgickém zavedení implantátu stačí lék ambulantně doplňovat (tzv. refill-exchange) obvykle jen jednou za 6 měsíců (u pacientů s</w:t>
      </w:r>
      <w:r w:rsidR="00D06F7E" w:rsidRPr="00D06F7E">
        <w:rPr>
          <w:lang w:val="cs-CZ"/>
        </w:rPr>
        <w:t> </w:t>
      </w:r>
      <w:r w:rsidRPr="00D06F7E">
        <w:t>nAMD</w:t>
      </w:r>
      <w:r w:rsidR="00D06F7E" w:rsidRPr="00D06F7E">
        <w:rPr>
          <w:lang w:val="cs-CZ"/>
        </w:rPr>
        <w:t>/VPMD</w:t>
      </w:r>
      <w:r w:rsidRPr="00D06F7E">
        <w:t xml:space="preserve"> a DME), nebo dokonce jednou za 9 měsíců (u diabetické retinopatie). Ve studii Archway to v praxi znamenalo snížení počtu zákroků během dvou let z průměrných 24 injekcí u kontrolní skupiny na pouhá 4 ošetření u pacientů s PD</w:t>
      </w:r>
      <w:r w:rsidR="00490948">
        <w:t>P</w:t>
      </w:r>
      <w:r w:rsidRPr="00D06F7E">
        <w:t xml:space="preserve"> – tedy pokles zátěže o 83 %. Tento výrazný pokles četnosti návštěv a zákroků zásadně šetří čas pacientům, jejich pečovatelům i lékařům a zlepšuje dlouhodobé dodržování (adherenci) léčebného režimu.</w:t>
      </w:r>
      <w:r w:rsidR="006C7C9F">
        <w:t xml:space="preserve"> </w:t>
      </w:r>
      <w:r w:rsidR="006C7C9F">
        <w:fldChar w:fldCharType="begin" w:fldLock="1"/>
      </w:r>
      <w:r w:rsidR="006C7C9F">
        <w:instrText>ADDIN CSL_CITATION {"citationItems":[{"id":"ITEM-1","itemData":{"author":[{"dropping-particle":"","family":"Genentech Inc. A Member of the Roche Group","given":"","non-dropping-particle":"","parse-names":false,"suffix":""}],"id":"ITEM-1","issued":{"date-parts":[["2024"]]},"page":"59","publisher-place":"San Francisco","title":"Instructions For Use Port Delivery System with Ranibizumab, TEC-0124315, Version 16.0, 2024-06-19","type":"article"},"uris":["http://www.mendeley.com/documents/?uuid=047426c3-6b70-4ac3-a865-90ff8ac676f8"]},{"id":"ITEM-2","itemData":{"author":[{"dropping-particle":"","family":"F. Hoffmann-La Roche Ltd","given":"","non-dropping-particle":"","parse-names":false,"suffix":""}],"id":"ITEM-2","issued":{"date-parts":[["2024"]]},"page":"34","publisher-place":"Basel","title":"Contivue® Summary of Safety and Clinical Performance Report, SSCP Model Document Version 2.0; 06-Sep-2024","type":"article"},"uris":["http://www.mendeley.com/documents/?uuid=f76a851e-e0bc-46bd-a74b-d169d2d7eb10"]},{"id":"ITEM-3","itemData":{"DOI":"10.1002/JCPH.2290","ISSN":"1552-4604","PMID":"37291950","abstract":"The port delivery system with ranibizumab (PDS) is designed to continuously deliver ranibizumab to maintain therapeutic drug concentrations in the vitreous of the eye for an extended duration. The PDS has been evaluated for the treatment of neovascular age-related macular degeneration in the Ladder (PDS 10, 40, and 100 mg/mL, with refill exchanges as needed, versus monthly intravitreal ranibizumab 0.5 mg), Archway (PDS 100 mg/mL with 24-week refill exchanges, versus monthly intravitreal ranibizumab 0.5 mg), and ongoing Portal (PDS 100 mg/mL with 24-week refill exchanges) clinical trials. Data from Ladder, Archway, and Portal were used to develop a population pharmacokinetics (PK) model to estimate the ranibizumab release rate from the PDS implant, describe ranibizumab PK in serum and aqueous humor, and predict the concentration in vitreous humor. A model was developed to adequately describe the serum and aqueous humor PK data, as suggested by goodness-of-fit plots as well as visual predictive checks. In the final model, the first-order implant release rate was estimated to be 0.00654 (1/day), corresponding to a half-life of 106 days, consistent with the implant release rate determined in vitro. The model-predicted vitreous concentrations achieved with PDS 100 mg/mL given every 24 weeks were below the intravitreal peak concentration and above the intravitreal trough concentration of ranibizumab over the entire 24-week refill interval. The results demonstrate a durable release of ranibizumab from the PDS with a half-life of 106 days, providing vitreous exposure to ranibizumab for at least 24 weeks that is within the range of exposure for monthly intravitreal treatment.","author":[{"dropping-particle":"","family":"Kågedal","given":"Matts","non-dropping-particle":"","parse-names":false,"suffix":""},{"dropping-particle":"","family":"Alskär","given":"Oskar","non-dropping-particle":"","parse-names":false,"suffix":""},{"dropping-particle":"","family":"Petersson","given":"Klas","non-dropping-particle":"","parse-names":false,"suffix":""},{"dropping-particle":"","family":"Hanze","given":"Eva","non-dropping-particle":"","parse-names":false,"suffix":""},{"dropping-particle":"","family":"Maia","given":"Mauricio","non-dropping-particle":"","parse-names":false,"suffix":""},{"dropping-particle":"","family":"Lu","given":"Tong","non-dropping-particle":"","parse-names":false,"suffix":""},{"dropping-particle":"","family":"Vakhavkar","given":"Shweta","non-dropping-particle":"","parse-names":false,"suffix":""},{"dropping-particle":"","family":"Quartino","given":"Angelica","non-dropping-particle":"","parse-names":false,"suffix":""},{"dropping-particle":"","family":"Willis","given":"Jeffrey R.","non-dropping-particle":"","parse-names":false,"suffix":""},{"dropping-particle":"","family":"Jin","given":"Jin Y.","non-dropping-particle":"","parse-names":false,"suffix":""},{"dropping-particle":"","family":"Maass","given":"Katie F.","non-dropping-particle":"","parse-names":false,"suffix":""}],"container-title":"Journal of clinical pharmacology","id":"ITEM-3","issue":"11","issued":{"date-parts":[["2023","11","1"]]},"page":"1210-1220","publisher":"J Clin Pharmacol","title":"Population Pharmacokinetics of Ranibizumab Delivered via the Port Delivery System Implanted in the Eye in Patients with Neovascular Age-Related Macular Degeneration","type":"article-journal","volume":"63"},"uris":["http://www.mendeley.com/documents/?uuid=44e5c34e-299f-3b4b-ad55-329fca8febfa"]},{"id":"ITEM-4","itemData":{"DOI":"10.1016/j.ophtha.2023.02.024","ISSN":"15494713","PMID":"36870451","abstract":"Purpose: To report 2-year results from the Archway clinical trial of the Port Delivery System with ranibizumab (PDS) for treatment of neovascular age-related macular degeneration (nAMD). Design: Phase 3, randomized, multicenter, open-label, active-comparator–controlled trial. Participants: Patients with previously treated nAMD diagnosed within 9 months of screening and responsive to anti–vascular endothelial growth factor therapy. Methods: Patients were randomized 3:2 to PDS with ranibizumab 100 mg/ml with fixed refill-exchanges every 24 weeks (PDS Q24W) or intravitreal ranibizumab 0.5 mg injections every 4 weeks (monthly ranibizumab). Patients were followed through 4 complete refill-exchange intervals (</w:instrText>
      </w:r>
      <w:r w:rsidR="006C7C9F">
        <w:rPr>
          <w:rFonts w:ascii="Cambria Math" w:hAnsi="Cambria Math" w:cs="Cambria Math"/>
        </w:rPr>
        <w:instrText>∼</w:instrText>
      </w:r>
      <w:r w:rsidR="006C7C9F">
        <w:instrText>2 years). Main Outcome Measures: Change in best-corrected visual acuity (BCVA) Early Treatment Diabetic Retinopathy Study (ETDRS) letter score from baseline averaged over weeks 44 and 48, weeks 60 and 64, and weeks 88 and 92 (noninferiority margin, –3.9 ETDRS letters). Results: The PDS Q24W was noninferior to monthly ranibizumab, with differences in adjusted mean change in BCVA score from baseline averaged over weeks 44/48, 60/64 and 88/92 of –0.2 (95% confidence interval [CI], –1.8 to +1.3), +0.4 (95% CI, –1.4 to +2.1) and –0.6 ETDRS letters (95% CI, –2.5 to +1.3), respectively. Anatomic outcomes were generally comparable between arms through week 96. Through each of 4 PDS refill-exchange intervals, 98.4%, 94.6%, 94.8%, and 94.7% of PDS Q24W patients assessed did not receive supplemental ranibizumab treatment. The PDS ocular safety profile was generally unchanged from primary analysis. Prespecified ocular adverse events of special interest (AESI) were reported in 59 (23.8%) PDS and 17 (10.2%) monthly ranibizumab patients. The most common AESI reported in both arms was cataract (PDS Q24W, 22 [8.9%]; monthly ranibizumab, 10 [6.0%]). Events in the PDS Q24W arm included (patient incidence) 10 (4.0%) conjunctival erosions, 6 (2.4%) conjunctival retractions, 4 (1.6%) endophthalmitis cases, and 4 (1.6%) implant dislocations. Serum ranibizumab sampling showed that the PDS continuously released ranibizumab over the 24-week refill-exchange interval and ranibizumab serum concentrations were within the range experienced with monthly ranibizumab. Conclusions: The PDS Q24W showed noninferior efficacy to monthly ranibizumab through approximately 2 years, with approximately 95% of PDS Q24W patients not receiving supplemental ranibizumab treatment in each refill-exchan…","author":[{"dropping-particle":"","family":"Regillo","given":"Carl","non-dropping-particle":"","parse-names":false,"suffix":""},{"dropping-particle":"","family":"Berger","given":"Brian","non-dropping-particle":"","parse-names":false,"suffix":""},{"dropping-particle":"","family":"Brooks","given":"Logan","non-dropping-particle":"","parse-names":false,"suffix":""},{"dropping-particle":"","family":"Clark","given":"W. Lloyd","non-dropping-particle":"","parse-names":false,"suffix":""},{"dropping-particle":"","family":"Mittra","given":"Robert","non-dropping-particle":"","parse-names":false,"suffix":""},{"dropping-particle":"","family":"Wykoff","given":"Charles C.","non-dropping-particle":"","parse-names":false,"suffix":""},{"dropping-particle":"","family":"Callaway","given":"Natalia F.","non-dropping-particle":"","parse-names":false,"suffix":""},{"dropping-particle":"","family":"DeGraaf","given":"Stephanie","non-dropping-particle":"","parse-names":false,"suffix":""},{"dropping-particle":"","family":"Ding","given":"Han Ting","non-dropping-particle":"","parse-names":false,"suffix":""},{"dropping-particle":"","family":"Fung","given":"Anne E.","non-dropping-particle":"","parse-names":false,"suffix":""},{"dropping-particle":"","family":"Gune","given":"Shamika","non-dropping-particle":"","parse-names":false,"suffix":""},{"dropping-particle":"","family":"Pogam","given":"Sophie","non-dropping-particle":"Le","parse-names":false,"suffix":""},{"dropping-particle":"","family":"Smith","given":"Robert","non-dropping-particle":"","parse-names":false,"suffix":""},{"dropping-particle":"","family":"Willis","given":"Jeffrey R.","non-dropping-particle":"","parse-names":false,"suffix":""},{"dropping-particle":"","family":"Barteselli","given":"Giulio","non-dropping-particle":"","parse-names":false,"suffix":""}],"container-title":"Ophthalmology","id":"ITEM-4","issue":"7","issued":{"date-parts":[["2023","7","1"]]},"page":"735-747","publisher":"Elsevier Inc.","title":"Archway Phase 3 Trial of the Port Delivery System with Ranibizumab for Neovascular Age-Related Macular Degeneration 2-Year Results","type":"article-journal","volume":"130"},"uris":["http://www.mendeley.com/documents/?uuid=4cae25bb-8f56-327f-829c-f5fa1941a72a"]},{"id":"ITEM-5","itemData":{"DOI":"10.1016/j.ophtha.2021.09.016","ISSN":"15494713","PMID":"34597713","abstract":"Purpose: To evaluate the safety and efficacy of the Port Delivery System with ranibizumab (PDS) for the treatment of neovascular age-related macular degeneration (nAMD). Design: Phase 3, open-label, randomized, visual acuity assessor–masked noninferiority and equivalence trial. Participants: Patients with nAMD diagnosed within 9 months of screening previously treated with and responsive to anti–vascular endothelial growth factor therapy. Methods: Patients were randomized 3:2 to treatment with the PDS with ranibizumab 100 mg/ml with fixed 24-week (Q24W) refill-exchanges (PDS Q24W) or intravitreal ranibizumab 0.5-mg injections every 4 weeks (monthly ranibizumab). Main Outcome Measures: Primary end point was change in best-corrected visual acuity (BCVA) Early Treatment Diabetic Retinopathy Study letter (letters) score from baseline averaged over weeks 36 and 40 (noninferiority margin,–4.5 letters; equivalence margin, ±4.5 letters). Results: Archway enrolled 418 patients; 251 were randomized to and 248 received treatment with the PDS Q24W, and 167 were randomized to and received treatment with monthly ranibizumab. Baseline BCVA was 74.4 letters (PDS Q24W arm) and 75.5 letters (monthly ranibizumab arm; Snellen equivalent, 20/32). Adjusted mean change in BCVA score from baseline averaged over weeks 36 and 40 was +0.2 letters (standard error [SE], 0.5 letters) in the PDS Q24W arm and +0.5 letters (SE, 0.6 letters) in the monthly ranibizumab arm (difference, –0.3 letters; 95% confidence interval, –1.7 to 1.1 letters). PDS Q24W was both noninferior and equivalent to monthly ranibizumab. Of 246 PDS-treated patients assessed for supplemental ranibizumab treatment, 242 (98.4%) did not receive supplemental ranibizumab treatment before the first refill-exchange procedure, including 4 patients who discontinued treatment before the first refill-exchange procedure. Prespecified ocular adverse events of special interest were reported in 47 patients (19.0%) in the PDS Q24W arm and 10 patients (6.0%) in the monthly ranibizumab arm, which included, in the former arm, 4 (1.6%) endophthalmitis cases, 2 (0.8%) retinal detachments, 13 (5.2%) vitreous hemorrhages, 6 (2.4%) conjunctival erosions, and 5 (2.0%) conjunctival retractions. Most ocular adverse events in the PDS Q24W arm occurred within 1 month of implantation. Conclusions: Archway met its primary objective and PDS Q24W demonstrated noninferior and equivalent efficacy to monthly ranibizumab, with 98.4% of PDS-treated pa…","author":[{"dropping-particle":"","family":"Holekamp","given":"Nancy M.","non-dropping-particle":"","parse-names":false,"suffix":""},{"dropping-particle":"","family":"Campochiaro","given":"Peter A.","non-dropping-particle":"","parse-names":false,"suffix":""},{"dropping-particle":"","family":"Chang","given":"Margaret A.","non-dropping-particle":"","parse-names":false,"suffix":""},{"dropping-particle":"","family":"Miller","given":"Daniel","non-dropping-particle":"","parse-names":false,"suffix":""},{"dropping-particle":"","family":"Pieramici","given":"Dante","non-dropping-particle":"","parse-names":false,"suffix":""},{"dropping-particle":"","family":"Adamis","given":"Anthony P.","non-dropping-particle":"","parse-names":false,"suffix":""},{"dropping-particle":"","family":"Brittain","given":"Christopher","non-dropping-particle":"","parse-names":false,"suffix":""},{"dropping-particle":"","family":"Evans","given":"Erica","non-dropping-particle":"","parse-names":false,"suffix":""},{"dropping-particle":"","family":"Kaufman","given":"Derrick","non-dropping-particle":"","parse-names":false,"suffix":""},{"dropping-particle":"","family":"Maass","given":"Katie F.","non-dropping-particle":"","parse-names":false,"suffix":""},{"dropping-particle":"","family":"Patel","given":"Shienal","non-dropping-particle":"","parse-names":false,"suffix":""},{"dropping-particle":"","family":"Ranade","given":"Shrirang","non-dropping-particle":"","parse-names":false,"suffix":""},{"dropping-particle":"","family":"Singh","given":"Natasha","non-dropping-particle":"","parse-names":false,"suffix":""},{"dropping-particle":"","family":"Barteselli","given":"Giulio","non-dropping-particle":"","parse-names":false,"suffix":""},{"dropping-particle":"","family":"Regillo","given":"Carl","non-dropping-particle":"","parse-names":false,"suffix":""}],"container-title":"Ophthalmology","id":"ITEM-5","issue":"3","issued":{"date-parts":[["2022","3","1"]]},"page":"295-307","publisher":"Elsevier Inc.","title":"Archway Randomized Phase 3 Trial of the Port Delivery System with Ranibizumab for Neovascular Age-Related Macular Degeneration","type":"article-journal","volume":"129"},"uris":["http://www.mendeley.com/documents/?uuid=88195152-f59b-34bb-8908-56b79e17f120"]}],"mendeley":{"formattedCitation":"[1, 2, 5–7]","plainTextFormattedCitation":"[1, 2, 5–7]","previouslyFormattedCitation":"[1, 2, 5–7]"},"properties":{"noteIndex":0},"schema":"https://github.com/citation-style-language/schema/raw/master/csl-citation.json"}</w:instrText>
      </w:r>
      <w:r w:rsidR="006C7C9F">
        <w:fldChar w:fldCharType="separate"/>
      </w:r>
      <w:r w:rsidR="006C7C9F" w:rsidRPr="006C7C9F">
        <w:rPr>
          <w:noProof/>
        </w:rPr>
        <w:t>[1, 2, 5–7]</w:t>
      </w:r>
      <w:r w:rsidR="006C7C9F">
        <w:fldChar w:fldCharType="end"/>
      </w:r>
    </w:p>
    <w:p w14:paraId="38CE11A6" w14:textId="3486C13A" w:rsidR="009636CF" w:rsidRPr="009636CF" w:rsidRDefault="009636CF" w:rsidP="00D06F7E">
      <w:pPr>
        <w:jc w:val="both"/>
        <w:rPr>
          <w:lang w:val="cs-CZ"/>
        </w:rPr>
      </w:pPr>
      <w:r w:rsidRPr="009636CF">
        <w:rPr>
          <w:b/>
          <w:bCs/>
          <w:lang w:val="cs-CZ"/>
        </w:rPr>
        <w:t>2. Kontinuální a stabilní kontrola nemoci</w:t>
      </w:r>
      <w:r w:rsidR="00D06F7E">
        <w:rPr>
          <w:b/>
          <w:bCs/>
          <w:lang w:val="cs-CZ"/>
        </w:rPr>
        <w:t>:</w:t>
      </w:r>
      <w:r w:rsidRPr="009636CF">
        <w:rPr>
          <w:lang w:val="cs-CZ"/>
        </w:rPr>
        <w:t xml:space="preserve"> Implantát je navržen tak, aby prostřednictvím pasivní difuze přes titanový prvek uvolňoval ranibizumab</w:t>
      </w:r>
      <w:r w:rsidR="00D06F7E">
        <w:rPr>
          <w:lang w:val="cs-CZ"/>
        </w:rPr>
        <w:t xml:space="preserve">, </w:t>
      </w:r>
      <w:r w:rsidRPr="009636CF">
        <w:rPr>
          <w:lang w:val="cs-CZ"/>
        </w:rPr>
        <w:t xml:space="preserve">do sklivce nepřetržitě. U standardní léčby injekcemi je v běžné </w:t>
      </w:r>
      <w:r w:rsidR="00546578">
        <w:rPr>
          <w:lang w:val="cs-CZ"/>
        </w:rPr>
        <w:t>klinické</w:t>
      </w:r>
      <w:r w:rsidR="00546578" w:rsidRPr="009636CF">
        <w:rPr>
          <w:lang w:val="cs-CZ"/>
        </w:rPr>
        <w:t xml:space="preserve"> </w:t>
      </w:r>
      <w:r w:rsidRPr="009636CF">
        <w:rPr>
          <w:lang w:val="cs-CZ"/>
        </w:rPr>
        <w:t xml:space="preserve">praxi obvyklé, že pacienti vynechají nebo opozdí svou dávku, což může vést ke zhoršení zraku. Kontinuální uvolňování tento problém řeší – neustále udržuje potřebnou hladinu léku v oku, čímž poskytuje jistotu dlouhodobé ochrany před zhoršením nemoci, </w:t>
      </w:r>
      <w:r w:rsidR="00546578">
        <w:rPr>
          <w:lang w:val="cs-CZ"/>
        </w:rPr>
        <w:t>bez nutnosti</w:t>
      </w:r>
      <w:r w:rsidRPr="009636CF">
        <w:rPr>
          <w:lang w:val="cs-CZ"/>
        </w:rPr>
        <w:t xml:space="preserve"> častých návštěvách kliniky.</w:t>
      </w:r>
      <w:r w:rsidR="006C7C9F">
        <w:rPr>
          <w:lang w:val="cs-CZ"/>
        </w:rPr>
        <w:t xml:space="preserve"> </w:t>
      </w:r>
      <w:r w:rsidR="006C7C9F">
        <w:rPr>
          <w:lang w:val="cs-CZ"/>
        </w:rPr>
        <w:fldChar w:fldCharType="begin" w:fldLock="1"/>
      </w:r>
      <w:r w:rsidR="006C7C9F">
        <w:rPr>
          <w:lang w:val="cs-CZ"/>
        </w:rPr>
        <w:instrText>ADDIN CSL_CITATION {"citationItems":[{"id":"ITEM-1","itemData":{"DOI":"10.1016/j.oret.2019.05.017","ISSN":"24686530","PMID":"31324588","abstract":"Purpose: This study assessed anti–vascular endothelial growth factor (VEGF) therapy intensity and its relationship with visual acuity (VA) change in real-world neovascular age-related macular degeneration (nAMD) patients. Design: This retrospective analysis was performed on a large database of aggregated, longitudinal, de-identified electronic medical records from a geographically and demographically diverse sample of patients of United States retina specialists (Vestrum Health Retina Database). Participants: Treatment-naïve nAMD patients who underwent anti-VEGF injections between January 1, 2012, and October 31, 2016, were eligible if follow-up data were available before October 31, 2017. Methods: Age, gender, anti-VEGF treatment type, number of treatments, and VA were extracted from the database. Main Outcome Measure: Mean VA change assessed at 1 year and stratified based on number of anti-VEGF injections received over 1 year. Results: In this analysis, 49 485 eyes were included. The mean age was 80.9 years, and 64% were female. Mean baseline VA was 53.8 letters (Snellen equivalent, 20/80). At 1 year, after a mean of 7.3 anti-VEGF injections, there was a mean gain of 1 letter (0.95 letter; 95% confidence interval [CI] for change in VA, +0.77 to +1.13 letter; P &lt; 0.001). When stratified by anti-VEGF agent, the mean VA changes were nearly identical at 1 year. There was a linear relationship between mean letters gained and mean number of injections, between 4 and 10 injections over 1 year, with 4 or fewer or 10 or more injections associated with loss of vision or a plateau, respectively. Greater mean 1-year change in VA also trended with worse baseline VA; those patients with better VA at presentation tended to be particularly vulnerable to vision loss. Those who received the fewest injections tended to be older and have worse baseline VA. Conclusions: Real-world nAMD patients receive fewer anti-VEGF injections and experience worse visual outcomes compared with patients receiving fixed, frequent therapy in randomized controlled trials. Mean change in VA correlates with treatment intensity at 1 year, but with ceiling effects related to treatment intensity and baseline VA. Older patients and those with poor baseline VA may be particularly prone to undertreatment.","author":[{"dropping-particle":"","family":"Ciulla","given":"Thomas A.","non-dropping-particle":"","parse-names":false,"suffix":""},{"dropping-particle":"","family":"Hussain","given":"Rehan M.","non-dropping-particle":"","parse-names":false,"suffix":""},{"dropping-particle":"","family":"Pollack","given":"John S.","non-dropping-particle":"","parse-names":false,"suffix":""},{"dropping-particle":"","family":"Williams","given":"David F.","non-dropping-particle":"","parse-names":false,"suffix":""}],"container-title":"Ophthalmology Retina","id":"ITEM-1","issue":"1","issued":{"date-parts":[["2020","1","1"]]},"page":"19-30","publisher":"Elsevier Inc","title":"Visual Acuity Outcomes and Anti–Vascular Endothelial Growth Factor Therapy Intensity in Neovascular Age-Related Macular Degeneration Patients: A Real-World Analysis of 49</w:instrText>
      </w:r>
      <w:r w:rsidR="006C7C9F">
        <w:rPr>
          <w:rFonts w:ascii="Times New Roman" w:hAnsi="Times New Roman" w:cs="Times New Roman"/>
          <w:lang w:val="cs-CZ"/>
        </w:rPr>
        <w:instrText> </w:instrText>
      </w:r>
      <w:r w:rsidR="006C7C9F">
        <w:rPr>
          <w:lang w:val="cs-CZ"/>
        </w:rPr>
        <w:instrText>485 Eyes","type":"article-journal","volume":"4"},"uris":["http://www.mendeley.com/documents/?uuid=22aade40-901b-3ad7-8c0b-d95d71ba265a"]},{"id":"ITEM-2","itemData":{"DOI":"10.1002/JCPH.2290","ISSN":"1552-4604","PMID":"37291950","abstract":"The port delivery system with ranibizumab (PDS) is designed to continuously deliver ranibizumab to maintain therapeutic drug concentrations in the vitreous of the eye for an extended duration. The PDS has been evaluated for the treatment of neovascular age-related macular degeneration in the Ladder (PDS 10, 40, and 100 mg/mL, with refill exchanges as needed, versus monthly intravitreal ranibizumab 0.5 mg), Archway (PDS 100 mg/mL with 24-week refill exchanges, versus monthly intravitreal ranibizumab 0.5 mg), and ongoing Portal (PDS 100 mg/mL with 24-week refill exchanges) clinical trials. Data from Ladder, Archway, and Portal were used to develop a population pharmacokinetics (PK) model to estimate the ranibizumab release rate from the PDS implant, describe ranibizumab PK in serum and aqueous humor, and predict the concentration in vitreous humor. A model was developed to adequately describe the serum and aqueous humor PK data, as suggested by goodness-of-fit plots as well as visual predictive checks. In the final model, the first-order implant release rate was estimated to be 0.00654 (1/day), corresponding to a half-life of 106 days, consistent with the implant release rate determined in vitro. The model-predicted vitreous concentrations achieved with PDS 100 mg/mL given every 24 weeks were below the intravitreal peak concentration and above the intravitreal trough concentration of ranibizumab over the entire 24-week refill interval. The results demonstrate a durable release of ranibizumab from the PDS with a half-life of 106 days, providing vitreous exposure to ranibizumab for at least 24 weeks that is within the range of exposure for monthly intravitreal treatment.","author":[{"dropping-particle":"","family":"Kågedal","given":"Matts","non-dropping-particle":"","parse-names":false,"suffix":""},{"dropping-particle":"","family":"Alskär","given":"Oskar","non-dropping-particle":"","parse-names":false,"suffix":""},{"dropping-particle":"","family":"Petersson","given":"Klas","non-dropping-particle":"","parse-names":false,"suffix":""},{"dropping-particle":"","family":"Hanze","given":"Eva","non-dropping-particle":"","parse-names":false,"suffix":""},{"dropping-particle":"","family":"Maia","given":"Mauricio","non-dropping-particle":"","parse-names":false,"suffix":""},{"dropping-particle":"","family":"Lu","given":"Tong","non-dropping-particle":"","parse-names":false,"suffix":""},{"dropping-particle":"","family":"Vakhavkar","given":"Shweta","non-dropping-particle":"","parse-names":false,"suffix":""},{"dropping-particle":"","family":"Quartino","given":"Angelica","non-dropping-particle":"","parse-names":false,"suffix":""},{"dropping-particle":"","family":"Willis","given":"Jeffrey R.","non-dropping-particle":"","parse-names":false,"suffix":""},{"dropping-particle":"","family":"Jin","given":"Jin Y.","non-dropping-particle":"","parse-names":false,"suffix":""},{"dropping-particle":"","family":"Maass","given":"Katie F.","non-dropping-particle":"","parse-names":false,"suffix":""}],"container-title":"The Journal of Clinical Pharmacology","id":"ITEM-2","issue":"11","issued":{"date-parts":[["2023","11","1"]]},"page":"1210-1220","publisher":"John Wiley &amp; Sons, Ltd","title":"Population Pharmacokinetics of Ranibizumab Delivered via the Port Delivery System Implanted in the Eye in Patients with Neovascular Age-Related Macular Degeneration","type":"article-journal","volume":"63"},"uris":["http://www.mendeley.com/documents/?uuid=7f74ea37-385a-3763-8ab6-03a9ffd9bbe8"]},{"id":"ITEM-3","itemData":{"DOI":"10.1056/NEJMOA062655","ISSN":"1533-4406","PMID":"17021319","abstract":"BACKGROUND We compared ranibizumab--a recombinant, humanized, monoclonal antibody Fab that neutralizes all active forms of vascular endothelial growth factor A--with photodynamic therapy with verteporfin in the treatment of predominantly classic neovascular age-related macular degeneration. METHODS During the first year of this 2-year, multicenter, double-blind study, we randomly assigned patients in a 1:1:1 ratio to receive monthly intravitreal injections of ranibizumab (0.3 mg or 0.5 mg) plus sham verteporfin therapy or monthly sham injections plus active verteporfin therapy. The primary end point was the proportion of patients losing fewer than 15 letters from baseline visual acuity at 12 months. RESULTS Of the 423 patients enrolled, 94.3% of those given 0.3 mg of ranibizumab and 96.4% of those given 0.5 mg lost fewer than 15 letters, as compared with 64.3% of those in the verteporfin group (P&lt;0.001 for each comparison). Visual acuity improved by 15 letters or more in 35.7% of the 0.3-mg group and 40.3% of the 0.5-mg group, as compared with 5.6% of the verteporfin group (P&lt;0.001 for each comparison). Mean visual acuity increased by 8.5 letters in the 0.3-mg group and 11.3 letters in the 0.5-mg group, as compared with a decrease of 9.5 letters in the verteporfin group (P&lt;0.001 for each comparison). Among 140 patients treated with 0.5 mg of ranibizumab, presumed endophthalmitis occurred in 2 patients (1.4%) and serious uveitis in 1 (0.7%). CONCLUSIONS Ranibizumab was superior to verteporfin as intravitreal treatment of predominantly classic neovascular age-related macular degeneration, with low rates of serious ocular adverse events. Treatment improved visual acuity on average at 1 year. (ClinicalTrials.gov number, NCT00061594 [ClinicalTrials.gov].).","author":[{"dropping-particle":"","family":"Brown","given":"David M.","non-dropping-particle":"","parse-names":false,"suffix":""},{"dropping-particle":"","family":"Kaiser","given":"Peter K.","non-dropping-particle":"","parse-names":false,"suffix":""},{"dropping-particle":"","family":"Michels","given":"Mark","non-dropping-particle":"","parse-names":false,"suffix":""},{"dropping-particle":"","family":"Soubrane","given":"Gisele","non-dropping-particle":"","parse-names":false,"suffix":""},{"dropping-particle":"","family":"Heier","given":"Jeffrey S.","non-dropping-particle":"","parse-names":false,"suffix":""},{"dropping-particle":"","family":"Kim","given":"Robert Y.","non-dropping-particle":"","parse-names":false,"suffix":""},{"dropping-particle":"","family":"Sy","given":"Judy P.","non-dropping-particle":"","parse-names":false,"suffix":""},{"dropping-particle":"","family":"Schneider","given":"Susan","non-dropping-particle":"","parse-names":false,"suffix":""}],"container-title":"The New England journal of medicine","id":"ITEM-3","issue":"14","issued":{"date-parts":[["2006","10","5"]]},"page":"1432-1444","publisher":"N Engl J Med","title":"Ranibizumab versus verteporfin for neovascular age-related macular degeneration","type":"article-journal","volume":"355"},"uris":["http://www.mendeley.com/documents/?uuid=ef2065f7-ae51-30b0-b44a-f51aecdfab69"]},{"id":"ITEM-4","itemData":{"DOI":"10.1038/S41433-023-02553-5","ISSN":"14765454","PMID":"37173428","abstract":"Background/Objective: Investigate real-world patients receiving faricimab for the treatment of neovascular age-related macular degeneration (nAMD). Subjects/Methods: Multicenter, retrospective chart review was conducted on patients treated with faricimab for nAMD from February 2022 to September 2022. Collected data includes background demographics, treatment history, best-corrected visual acuity (BCVA), anatomic changes, and adverse events as safety markers. The main outcome measures are changes in BCVA, changes in central subfield thickness (CST) and adverse events. Secondary outcome measures included treatment intervals and presence of retinal fluid. Results: After one injection of faricimab, all eyes (n = 376), previously-treated (n = 337) and treatment-naïve (n = 39) eyes demonstrated a + 1.1 letter (p = 0.035), a + 0.7 letter (p = 0.196) and a + 4.9 letter (p = 0.076) improvement in BCVA, respectively, and a − 31.3 μM (p &lt; 0.001), a − 25.3 μM (p &lt; 0.001) and a − 84.5 μM (p &lt; 0.001) reduction in CST, respectively. After three injections of faricimab, all eyes (n = 94), previously-treated (n = 81) and treatment-naïve (n = 13) eyes demonstrated a + 3.4 letter (p = 0.03), a + 2.7 letter (p = 0.045) and a + 8.1 letter (p = 0.437) improvement in BCVA, and a − 43.4 μM (p &lt; 0.001), a − 38.1 μM (p &lt; 0.001) and a − 80.1 μM (p &lt; 0.204) reduction in CST, respectively. One case of intraocular inflammation was observed after four injections of faricimab and resolved with topical steroids. One case of infectious endophthalmitis was treated with intravitreal antibiotics and resolved. Conclusions: Faricimab has demonstrated improvement or maintenance of visual acuity for patients with nAMD, along with rapid improvement of anatomical parameters. It has been well-tolerated with low incidence of treatable intraocular inflammation. Future data will continue to investigate faricimab for real-world patients with nAMD.","author":[{"dropping-particle":"","family":"Khanani","given":"Arshad M.","non-dropping-particle":"","parse-names":false,"suffix":""},{"dropping-particle":"","family":"Aziz","given":"Aamir A.","non-dropping-particle":"","parse-names":false,"suffix":""},{"dropping-particle":"","family":"Khan","given":"Hannah","non-dropping-particle":"","parse-names":false,"suffix":""},{"dropping-particle":"","family":"Gupta","given":"Ashwin","non-dropping-particle":"","parse-names":false,"suffix":""},{"dropping-particle":"","family":"Mojumder","given":"Ohidul","non-dropping-particle":"","parse-names":false,"suffix":""},{"dropping-particle":"","family":"Saulebayeva","given":"Aigerim","non-dropping-particle":"","parse-names":false,"suffix":""},{"dropping-particle":"","family":"Abbey","given":"Ashkan M.","non-dropping-particle":"","parse-names":false,"suffix":""},{"dropping-particle":"","family":"Almeida","given":"David R.P.","non-dropping-particle":"","parse-names":false,"suffix":""},{"dropping-particle":"","family":"Avery","given":"Robert L.","non-dropping-particle":"","parse-names":false,"suffix":""},{"dropping-particle":"","family":"Banda","given":"Himanshu K.","non-dropping-particle":"","parse-names":false,"suffix":""},{"dropping-particle":"","family":"Barakat","given":"Mark R.","non-dropping-particle":"","parse-names":false,"suffix":""},{"dropping-particle":"","family":"Bhandari","given":"Ramanath","non-dropping-particle":"","parse-names":false,"suffix":""},{"dropping-particle":"","family":"Chang","given":"Emmanuel Y.","non-dropping-particle":"","parse-names":false,"suffix":""},{"dropping-particle":"","family":"Haug","given":"Sara J.","non-dropping-particle":"","parse-names":false,"suffix":""},{"dropping-particle":"","family":"London","given":"Nikolas J.S.","non-dropping-particle":"","parse-names":false,"suffix":""},{"dropping-particle":"","family":"Mein","given":"Luke","non-dropping-particle":"","parse-names":false,"suffix":""},{"dropping-particle":"","family":"Sheth","given":"Veeral S.","non-dropping-particle":"","parse-names":false,"suffix":""},{"dropping-particle":"","family":"Wolfe","given":"Jeremy D.","non-dropping-particle":"","parse-names":false,"suffix":""},{"dropping-particle":"","family":"Singer","given":"Michael A.","non-dropping-particle":"","parse-names":false,"suffix":""},{"dropping-particle":"","family":"Danzig","given":"Carl J.","non-dropping-particle":"","parse-names":false,"suffix":""}],"container-title":"Eye","id":"ITEM-4","issue":"17","issued":{"date-parts":[["2023","12","1"]]},"page":"3574","publisher":"Springer Nature","title":"The real-world efficacy and safety of faricimab in neovascular age-related macular degeneration: the TRUCKEE study – 6 month results","type":"article-journal","volume":"37"},"uris":["http://www.mendeley.com/documents/?uuid=7b701fb8-6c12-31f5-a3bb-cb18d0715cca"]}],"mendeley":{"formattedCitation":"[8–11]","plainTextFormattedCitation":"[8–11]","previouslyFormattedCitation":"[8–11]"},"properties":{"noteIndex":0},"schema":"https://github.com/citation-style-language/schema/raw/master/csl-citation.json"}</w:instrText>
      </w:r>
      <w:r w:rsidR="006C7C9F">
        <w:rPr>
          <w:lang w:val="cs-CZ"/>
        </w:rPr>
        <w:fldChar w:fldCharType="separate"/>
      </w:r>
      <w:r w:rsidR="006C7C9F" w:rsidRPr="006C7C9F">
        <w:rPr>
          <w:noProof/>
          <w:lang w:val="cs-CZ"/>
        </w:rPr>
        <w:t>[8–11]</w:t>
      </w:r>
      <w:r w:rsidR="006C7C9F">
        <w:rPr>
          <w:lang w:val="cs-CZ"/>
        </w:rPr>
        <w:fldChar w:fldCharType="end"/>
      </w:r>
    </w:p>
    <w:p w14:paraId="5487DCF4" w14:textId="30AFA763" w:rsidR="009636CF" w:rsidRPr="00D06F7E" w:rsidRDefault="009636CF" w:rsidP="00D06F7E">
      <w:pPr>
        <w:jc w:val="both"/>
      </w:pPr>
      <w:r w:rsidRPr="009636CF">
        <w:rPr>
          <w:b/>
          <w:bCs/>
          <w:lang w:val="cs-CZ"/>
        </w:rPr>
        <w:t>3. Vysoká účinnost srovnatelná s měsíčními injekcemi</w:t>
      </w:r>
      <w:r w:rsidR="00D06F7E">
        <w:rPr>
          <w:b/>
          <w:bCs/>
          <w:lang w:val="cs-CZ"/>
        </w:rPr>
        <w:t>:</w:t>
      </w:r>
      <w:r w:rsidRPr="009636CF">
        <w:rPr>
          <w:lang w:val="cs-CZ"/>
        </w:rPr>
        <w:t xml:space="preserve"> I přes zlomkový </w:t>
      </w:r>
      <w:proofErr w:type="spellStart"/>
      <w:r w:rsidRPr="009636CF">
        <w:rPr>
          <w:lang w:val="cs-CZ"/>
        </w:rPr>
        <w:t>počet</w:t>
      </w:r>
      <w:r w:rsidR="00546578">
        <w:rPr>
          <w:lang w:val="cs-CZ"/>
        </w:rPr>
        <w:t>aplikací</w:t>
      </w:r>
      <w:proofErr w:type="spellEnd"/>
      <w:r w:rsidRPr="009636CF">
        <w:rPr>
          <w:lang w:val="cs-CZ"/>
        </w:rPr>
        <w:t xml:space="preserve"> </w:t>
      </w:r>
      <w:r w:rsidRPr="00D06F7E">
        <w:t>nepřináší PDP žádný kompromis v účinnosti. Klinické studie fáze 3 (Archway pro nAMD</w:t>
      </w:r>
      <w:r w:rsidR="00D06F7E">
        <w:t>/VPMD</w:t>
      </w:r>
      <w:r w:rsidRPr="00D06F7E">
        <w:t xml:space="preserve"> a Pagoda pro DME) prokázaly, že PDP dosahuje zcela srovnatelných (non-inferiorních) zrakových a anatomických výsledků jako každé 4 týdny podávané injekce. U diabetické retinopatie (studie Pavilion) pak systém vedl k mnohem výraznějšímu zlepšení nálezů na sítnici v porovnání s pouhým klinickým sledováním pacienta. Drtivá většina pacientů (téměř 95 až 98 %) navíc během dlouhých půlročních či devítiměsíčních intervalů nepotřebovala vůbec žádnou doplňkovou anti-VEGF injekci.</w:t>
      </w:r>
      <w:r w:rsidR="006C7C9F">
        <w:t xml:space="preserve"> </w:t>
      </w:r>
      <w:r w:rsidR="006C7C9F">
        <w:fldChar w:fldCharType="begin" w:fldLock="1"/>
      </w:r>
      <w:r w:rsidR="006C7C9F">
        <w:instrText>ADDIN CSL_CITATION {"citationItems":[{"id":"ITEM-1","itemData":{"DOI":"10.1016/j.ophtha.2023.02.024","ISSN":"15494713","PMID":"36870451","abstract":"Purpose: To report 2-year results from the Archway clinical trial of the Port Delivery System with ranibizumab (PDS) for treatment of neovascular age-related macular degeneration (nAMD). Design: Phase 3, randomized, multicenter, open-label, active-comparator–controlled trial. Participants: Patients with previously treated nAMD diagnosed within 9 months of screening and responsive to anti–vascular endothelial growth factor therapy. Methods: Patients were randomized 3:2 to PDS with ranibizumab 100 mg/ml with fixed refill-exchanges every 24 weeks (PDS Q24W) or intravitreal ranibizumab 0.5 mg injections every 4 weeks (monthly ranibizumab). Patients were followed through 4 complete refill-exchange intervals (</w:instrText>
      </w:r>
      <w:r w:rsidR="006C7C9F">
        <w:rPr>
          <w:rFonts w:ascii="Cambria Math" w:hAnsi="Cambria Math" w:cs="Cambria Math"/>
        </w:rPr>
        <w:instrText>∼</w:instrText>
      </w:r>
      <w:r w:rsidR="006C7C9F">
        <w:instrText>2 years). Main Outcome Measures: Change in best-corrected visual acuity (BCVA) Early Treatment Diabetic Retinopathy Study (ETDRS) letter score from baseline averaged over weeks 44 and 48, weeks 60 and 64, and weeks 88 and 92 (noninferiority margin, –3.9 ETDRS letters). Results: The PDS Q24W was noninferior to monthly ranibizumab, with differences in adjusted mean change in BCVA score from baseline averaged over weeks 44/48, 60/64 and 88/92 of –0.2 (95% confidence interval [CI], –1.8 to +1.3), +0.4 (95% CI, –1.4 to +2.1) and –0.6 ETDRS letters (95% CI, –2.5 to +1.3), respectively. Anatomic outcomes were generally comparable between arms through week 96. Through each of 4 PDS refill-exchange intervals, 98.4%, 94.6%, 94.8%, and 94.7% of PDS Q24W patients assessed did not receive supplemental ranibizumab treatment. The PDS ocular safety profile was generally unchanged from primary analysis. Prespecified ocular adverse events of special interest (AESI) were reported in 59 (23.8%) PDS and 17 (10.2%) monthly ranibizumab patients. The most common AESI reported in both arms was cataract (PDS Q24W, 22 [8.9%]; monthly ranibizumab, 10 [6.0%]). Events in the PDS Q24W arm included (patient incidence) 10 (4.0%) conjunctival erosions, 6 (2.4%) conjunctival retractions, 4 (1.6%) endophthalmitis cases, and 4 (1.6%) implant dislocations. Serum ranibizumab sampling showed that the PDS continuously released ranibizumab over the 24-week refill-exchange interval and ranibizumab serum concentrations were within the range experienced with monthly ranibizumab. Conclusions: The PDS Q24W showed noninferior efficacy to monthly ranibizumab through approximately 2 years, with approximately 95% of PDS Q24W patients not receiving supplemental ranibizumab treatment in each refill-exchan…","author":[{"dropping-particle":"","family":"Regillo","given":"Carl","non-dropping-particle":"","parse-names":false,"suffix":""},{"dropping-particle":"","family":"Berger","given":"Brian","non-dropping-particle":"","parse-names":false,"suffix":""},{"dropping-particle":"","family":"Brooks","given":"Logan","non-dropping-particle":"","parse-names":false,"suffix":""},{"dropping-particle":"","family":"Clark","given":"W. Lloyd","non-dropping-particle":"","parse-names":false,"suffix":""},{"dropping-particle":"","family":"Mittra","given":"Robert","non-dropping-particle":"","parse-names":false,"suffix":""},{"dropping-particle":"","family":"Wykoff","given":"Charles C.","non-dropping-particle":"","parse-names":false,"suffix":""},{"dropping-particle":"","family":"Callaway","given":"Natalia F.","non-dropping-particle":"","parse-names":false,"suffix":""},{"dropping-particle":"","family":"DeGraaf","given":"Stephanie","non-dropping-particle":"","parse-names":false,"suffix":""},{"dropping-particle":"","family":"Ding","given":"Han Ting","non-dropping-particle":"","parse-names":false,"suffix":""},{"dropping-particle":"","family":"Fung","given":"Anne E.","non-dropping-particle":"","parse-names":false,"suffix":""},{"dropping-particle":"","family":"Gune","given":"Shamika","non-dropping-particle":"","parse-names":false,"suffix":""},{"dropping-particle":"","family":"Pogam","given":"Sophie","non-dropping-particle":"Le","parse-names":false,"suffix":""},{"dropping-particle":"","family":"Smith","given":"Robert","non-dropping-particle":"","parse-names":false,"suffix":""},{"dropping-particle":"","family":"Willis","given":"Jeffrey R.","non-dropping-particle":"","parse-names":false,"suffix":""},{"dropping-particle":"","family":"Barteselli","given":"Giulio","non-dropping-particle":"","parse-names":false,"suffix":""}],"container-title":"Ophthalmology","id":"ITEM-1","issue":"7","issued":{"date-parts":[["2023","7","1"]]},"page":"735-747","publisher":"Elsevier Inc.","title":"Archway Phase 3 Trial of the Port Delivery System with Ranibizumab for Neovascular Age-Related Macular Degeneration 2-Year Results","type":"article-journal","volume":"130"},"uris":["http://www.mendeley.com/documents/?uuid=4cae25bb-8f56-327f-829c-f5fa1941a72a"]},{"id":"ITEM-2","itemData":{"DOI":"10.1016/j.ophtha.2021.09.016","ISSN":"15494713","PMID":"34597713","abstract":"Purpose: To evaluate the safety and efficacy of the Port Delivery System with ranibizumab (PDS) for the treatment of neovascular age-related macular degeneration (nAMD). Design: Phase 3, open-label, randomized, visual acuity assessor–masked noninferiority and equivalence trial. Participants: Patients with nAMD diagnosed within 9 months of screening previously treated with and responsive to anti–vascular endothelial growth factor therapy. Methods: Patients were randomized 3:2 to treatment with the PDS with ranibizumab 100 mg/ml with fixed 24-week (Q24W) refill-exchanges (PDS Q24W) or intravitreal ranibizumab 0.5-mg injections every 4 weeks (monthly ranibizumab). Main Outcome Measures: Primary end point was change in best-corrected visual acuity (BCVA) Early Treatment Diabetic Retinopathy Study letter (letters) score from baseline averaged over weeks 36 and 40 (noninferiority margin,–4.5 letters; equivalence margin, ±4.5 letters). Results: Archway enrolled 418 patients; 251 were randomized to and 248 received treatment with the PDS Q24W, and 167 were randomized to and received treatment with monthly ranibizumab. Baseline BCVA was 74.4 letters (PDS Q24W arm) and 75.5 letters (monthly ranibizumab arm; Snellen equivalent, 20/32). Adjusted mean change in BCVA score from baseline averaged over weeks 36 and 40 was +0.2 letters (standard error [SE], 0.5 letters) in the PDS Q24W arm and +0.5 letters (SE, 0.6 letters) in the monthly ranibizumab arm (difference, –0.3 letters; 95% confidence interval, –1.7 to 1.1 letters). PDS Q24W was both noninferior and equivalent to monthly ranibizumab. Of 246 PDS-treated patients assessed for supplemental ranibizumab treatment, 242 (98.4%) did not receive supplemental ranibizumab treatment before the first refill-exchange procedure, including 4 patients who discontinued treatment before the first refill-exchange procedure. Prespecified ocular adverse events of special interest were reported in 47 patients (19.0%) in the PDS Q24W arm and 10 patients (6.0%) in the monthly ranibizumab arm, which included, in the former arm, 4 (1.6%) endophthalmitis cases, 2 (0.8%) retinal detachments, 13 (5.2%) vitreous hemorrhages, 6 (2.4%) conjunctival erosions, and 5 (2.0%) conjunctival retractions. Most ocular adverse events in the PDS Q24W arm occurred within 1 month of implantation. Conclusions: Archway met its primary objective and PDS Q24W demonstrated noninferior and equivalent efficacy to monthly ranibizumab, with 98.4% of PDS-treated pa…","author":[{"dropping-particle":"","family":"Holekamp","given":"Nancy M.","non-dropping-particle":"","parse-names":false,"suffix":""},{"dropping-particle":"","family":"Campochiaro","given":"Peter A.","non-dropping-particle":"","parse-names":false,"suffix":""},{"dropping-particle":"","family":"Chang","given":"Margaret A.","non-dropping-particle":"","parse-names":false,"suffix":""},{"dropping-particle":"","family":"Miller","given":"Daniel","non-dropping-particle":"","parse-names":false,"suffix":""},{"dropping-particle":"","family":"Pieramici","given":"Dante","non-dropping-particle":"","parse-names":false,"suffix":""},{"dropping-particle":"","family":"Adamis","given":"Anthony P.","non-dropping-particle":"","parse-names":false,"suffix":""},{"dropping-particle":"","family":"Brittain","given":"Christopher","non-dropping-particle":"","parse-names":false,"suffix":""},{"dropping-particle":"","family":"Evans","given":"Erica","non-dropping-particle":"","parse-names":false,"suffix":""},{"dropping-particle":"","family":"Kaufman","given":"Derrick","non-dropping-particle":"","parse-names":false,"suffix":""},{"dropping-particle":"","family":"Maass","given":"Katie F.","non-dropping-particle":"","parse-names":false,"suffix":""},{"dropping-particle":"","family":"Patel","given":"Shienal","non-dropping-particle":"","parse-names":false,"suffix":""},{"dropping-particle":"","family":"Ranade","given":"Shrirang","non-dropping-particle":"","parse-names":false,"suffix":""},{"dropping-particle":"","family":"Singh","given":"Natasha","non-dropping-particle":"","parse-names":false,"suffix":""},{"dropping-particle":"","family":"Barteselli","given":"Giulio","non-dropping-particle":"","parse-names":false,"suffix":""},{"dropping-particle":"","family":"Regillo","given":"Carl","non-dropping-particle":"","parse-names":false,"suffix":""}],"container-title":"Ophthalmology","id":"ITEM-2","issue":"3","issued":{"date-parts":[["2022","3","1"]]},"page":"295-307","publisher":"Elsevier Inc.","title":"Archway Randomized Phase 3 Trial of the Port Delivery System with Ranibizumab for Neovascular Age-Related Macular Degeneration","type":"article-journal","volume":"129"},"uris":["http://www.mendeley.com/documents/?uuid=88195152-f59b-34bb-8908-56b79e17f120"]},{"id":"ITEM-3","itemData":{"DOI":"10.1001/JAMAOPHTHALMOL.2025.0006","ISSN":"2168-6165","PMID":"40048197","abstract":"&lt;h3&gt;Importance&lt;/h3&gt;&lt;p&gt;Frequent visits and intravitreal anti–vascular endothelial growth factor (VEGF) injections are often required to manage diabetic macular edema (DME), burdening patients and their health care networks. The Port Delivery System (PDS) with ranibizumab is the first continuous anti-VEGF therapy that has the potential to reduce visit and treatment burden without sacrificing vision outcomes for patients with DME.&lt;/p&gt;&lt;h3&gt;Objective&lt;/h3&gt;&lt;p&gt;To evaluate the efficacy and safety through 64 weeks of ranibizumab, 100 mg/mL, via PDS with refill exchanges every 24 weeks (PDS Q24W) in patients with DME vs intravitreal injections of ranibizumab, 0.5 mg, every 4 weeks (monthly ranibizumab).&lt;/p&gt;&lt;h3&gt;Design, Setting, and Participants&lt;/h3&gt;&lt;p&gt;This randomized clinical trial was a phase 3, multicenter, noninferiority trial conducted across 87 sites in the US. Treatment-naïve patients at least 18 years old with center-involved DME were eligible for study participation. Enrollment was from September 30, 2019, to June 25, 2021; data were analyzed from September 30, 2019, to September 19, 2022.&lt;/p&gt;&lt;h3&gt;Intervention&lt;/h3&gt;&lt;p&gt;Participants were randomized 3:2 to receive 4 monthly doses of ranibizumab, 0.5 mg, followed by ranibizumab, 100 mg/mL, via PDS Q24W or monthly ranibizumab.&lt;/p&gt;&lt;h3&gt;Main Outcome and Measure&lt;/h3&gt;&lt;p&gt;The primary end point was change in best-corrected visual acuity (BCVA) from baseline averaged over weeks 60 and 64.&lt;/p&gt;&lt;h3&gt;Results&lt;/h3&gt;&lt;p&gt;A total of 634 participants were randomized (PDS Q24W group, n</w:instrText>
      </w:r>
      <w:r w:rsidR="006C7C9F">
        <w:rPr>
          <w:rFonts w:ascii="Times New Roman" w:hAnsi="Times New Roman" w:cs="Times New Roman"/>
        </w:rPr>
        <w:instrText> </w:instrText>
      </w:r>
      <w:r w:rsidR="006C7C9F">
        <w:instrText>=</w:instrText>
      </w:r>
      <w:r w:rsidR="006C7C9F">
        <w:rPr>
          <w:rFonts w:ascii="Times New Roman" w:hAnsi="Times New Roman" w:cs="Times New Roman"/>
        </w:rPr>
        <w:instrText> </w:instrText>
      </w:r>
      <w:r w:rsidR="006C7C9F">
        <w:instrText>381; monthly ranibizumab, n</w:instrText>
      </w:r>
      <w:r w:rsidR="006C7C9F">
        <w:rPr>
          <w:rFonts w:ascii="Times New Roman" w:hAnsi="Times New Roman" w:cs="Times New Roman"/>
        </w:rPr>
        <w:instrText> </w:instrText>
      </w:r>
      <w:r w:rsidR="006C7C9F">
        <w:instrText>=</w:instrText>
      </w:r>
      <w:r w:rsidR="006C7C9F">
        <w:rPr>
          <w:rFonts w:ascii="Times New Roman" w:hAnsi="Times New Roman" w:cs="Times New Roman"/>
        </w:rPr>
        <w:instrText> </w:instrText>
      </w:r>
      <w:r w:rsidR="006C7C9F">
        <w:instrText>253). The mean (SD) age at baseline was 60.7 (9.6) years; 363 (57.3%) participants were male and 271 (42.7%) female. Adjusted mean BCVA change from baseline averaged over weeks 60 and 64 was an increase of 9.6 letters for PDS Q24W and 9.4 letters for monthly ranibizumab (difference, 0.2; 95% CI, −1.2 to 1.6), meeting the primary end point of PDS noninferiority (margin, –4.5 letters). PDS Q24W participants had a mean (SD) decrease of 6.7 (12.0) letters 4 weeks after PDS insertion; mean BCVA was similar to monthly ranibizumab 16 weeks after implantation. Adverse events of special interest were more common in the PDS Q24W group (88 participants; 27.5%) than the monthly ranibizumab group (28 participants; 8.9%). No cases of endophthalmitis or retinal detachment were reported with PDS Q24W.&lt;/p&gt;&lt;h3&gt;Conclusions and Relevance&lt;/h3&gt;&lt;p&gt;This trial found that changes in BCVA from baseline averaged over weeks 60/64 in the PDS Q24W group w…","author":[{"dropping-particle":"","family":"Khanani","given":"Arshad M.","non-dropping-particle":"","parse-names":false,"suffix":""},{"dropping-particle":"","family":"Campochiaro","given":"Peter A.","non-dropping-particle":"","parse-names":false,"suffix":""},{"dropping-particle":"","family":"Graff","given":"Jordan M.","non-dropping-particle":"","parse-names":false,"suffix":""},{"dropping-particle":"","family":"Marcus","given":"Dennis M.","non-dropping-particle":"","parse-names":false,"suffix":""},{"dropping-particle":"","family":"Miller","given":"Daniel","non-dropping-particle":"","parse-names":false,"suffix":""},{"dropping-particle":"","family":"Mittra","given":"Robert A.","non-dropping-particle":"","parse-names":false,"suffix":""},{"dropping-particle":"","family":"Regillo","given":"Carl","non-dropping-particle":"","parse-names":false,"suffix":""},{"dropping-particle":"","family":"Sheth","given":"Veeral S.","non-dropping-particle":"","parse-names":false,"suffix":""},{"dropping-particle":"","family":"Bobbala","given":"Ashwini","non-dropping-particle":"","parse-names":false,"suffix":""},{"dropping-particle":"","family":"Gune","given":"Shamika","non-dropping-particle":"","parse-names":false,"suffix":""},{"dropping-particle":"","family":"Lin","given":"Stephanie","non-dropping-particle":"","parse-names":false,"suffix":""},{"dropping-particle":"","family":"Quezada-Ruiz","given":"Carlos","non-dropping-particle":"","parse-names":false,"suffix":""},{"dropping-particle":"","family":"Malhotra","given":"Varun","non-dropping-particle":"","parse-names":false,"suffix":""}],"container-title":"JAMA Ophthalmology","id":"ITEM-3","issue":"4","issued":{"date-parts":[["2025","4","1"]]},"page":"326-335","publisher":"American Medical Association","title":"Continuous Ranibizumab via Port Delivery System vs Monthly Ranibizumab for Treatment of Diabetic Macular Edema: The Pagoda Randomized Clinical Trial","type":"article-journal","volume":"143"},"uris":["http://www.mendeley.com/documents/?uuid=8128e666-cc26-3573-8522-3e1655177e6a"]}],"mendeley":{"formattedCitation":"[6, 7, 12]","plainTextFormattedCitation":"[6, 7, 12]","previouslyFormattedCitation":"[6, 7, 12]"},"properties":{"noteIndex":0},"schema":"https://github.com/citation-style-language/schema/raw/master/csl-citation.json"}</w:instrText>
      </w:r>
      <w:r w:rsidR="006C7C9F">
        <w:fldChar w:fldCharType="separate"/>
      </w:r>
      <w:r w:rsidR="006C7C9F" w:rsidRPr="006C7C9F">
        <w:rPr>
          <w:noProof/>
        </w:rPr>
        <w:t>[6, 7, 12]</w:t>
      </w:r>
      <w:r w:rsidR="006C7C9F">
        <w:fldChar w:fldCharType="end"/>
      </w:r>
    </w:p>
    <w:p w14:paraId="7B3459B3" w14:textId="05B21F0E" w:rsidR="009636CF" w:rsidRPr="009636CF" w:rsidRDefault="009636CF" w:rsidP="00D06F7E">
      <w:pPr>
        <w:jc w:val="both"/>
        <w:rPr>
          <w:lang w:val="cs-CZ"/>
        </w:rPr>
      </w:pPr>
      <w:r w:rsidRPr="009636CF">
        <w:rPr>
          <w:b/>
          <w:bCs/>
          <w:lang w:val="cs-CZ"/>
        </w:rPr>
        <w:t>4. Drtivá preference ze strany pacientů</w:t>
      </w:r>
      <w:r w:rsidR="00D06F7E">
        <w:rPr>
          <w:b/>
          <w:bCs/>
          <w:lang w:val="cs-CZ"/>
        </w:rPr>
        <w:t xml:space="preserve">: </w:t>
      </w:r>
      <w:r w:rsidRPr="009636CF">
        <w:rPr>
          <w:lang w:val="cs-CZ"/>
        </w:rPr>
        <w:t xml:space="preserve">Díky úbytku počtu ošetření pociťují pacienti </w:t>
      </w:r>
      <w:r w:rsidRPr="00D06F7E">
        <w:rPr>
          <w:lang w:val="cs-CZ"/>
        </w:rPr>
        <w:t>mnohem méně stresu, nervozity a fyzického diskomfortu. Analýza dotazníků ukázala, že více než 93 % pacientů upřednostňuje tuto metodu před klasickými opakovanými injekcemi do oka. Menší narušení běžného a pracovního života má tak jednoznačně pozitivní dopad na celkovou kvalitu života.</w:t>
      </w:r>
      <w:r w:rsidR="006C7C9F">
        <w:rPr>
          <w:lang w:val="cs-CZ"/>
        </w:rPr>
        <w:t xml:space="preserve"> </w:t>
      </w:r>
      <w:r w:rsidR="006C7C9F">
        <w:rPr>
          <w:lang w:val="cs-CZ"/>
        </w:rPr>
        <w:fldChar w:fldCharType="begin" w:fldLock="1"/>
      </w:r>
      <w:r w:rsidR="000C4506">
        <w:rPr>
          <w:lang w:val="cs-CZ"/>
        </w:rPr>
        <w:instrText>ADDIN CSL_CITATION {"citationItems":[{"id":"ITEM-1","itemData":{"DOI":"10.1001/JAMAOPHTHALMOL.2025.0006","ISSN":"2168-6165","PMID":"40048197","abstract":"&lt;h3&gt;Importance&lt;/h3&gt;&lt;p&gt;Frequent visits and intravitreal anti–vascular endothelial growth factor (VEGF) injections are often required to manage diabetic macular edema (DME), burdening patients and their health care networks. The Port Delivery System (PDS) with ranibizumab is the first continuous anti-VEGF therapy that has the potential to reduce visit and treatment burden without sacrificing vision outcomes for patients with DME.&lt;/p&gt;&lt;h3&gt;Objective&lt;/h3&gt;&lt;p&gt;To evaluate the efficacy and safety through 64 weeks of ranibizumab, 100 mg/mL, via PDS with refill exchanges every 24 weeks (PDS Q24W) in patients with DME vs intravitreal injections of ranibizumab, 0.5 mg, every 4 weeks (monthly ranibizumab).&lt;/p&gt;&lt;h3&gt;Design, Setting, and Participants&lt;/h3&gt;&lt;p&gt;This randomized clinical trial was a phase 3, multicenter, noninferiority trial conducted across 87 sites in the US. Treatment-naïve patients at least 18 years old with center-involved DME were eligible for study participation. Enrollment was from September 30, 2019, to June 25, 2021; data were analyzed from September 30, 2019, to September 19, 2022.&lt;/p&gt;&lt;h3&gt;Intervention&lt;/h3&gt;&lt;p&gt;Participants were randomized 3:2 to receive 4 monthly doses of ranibizumab, 0.5 mg, followed by ranibizumab, 100 mg/mL, via PDS Q24W or monthly ranibizumab.&lt;/p&gt;&lt;h3&gt;Main Outcome and Measure&lt;/h3&gt;&lt;p&gt;The primary end point was change in best-corrected visual acuity (BCVA) from baseline averaged over weeks 60 and 64.&lt;/p&gt;&lt;h3&gt;Results&lt;/h3&gt;&lt;p&gt;A total of 634 participants were randomized (PDS Q24W group, n</w:instrText>
      </w:r>
      <w:r w:rsidR="000C4506">
        <w:rPr>
          <w:rFonts w:ascii="Times New Roman" w:hAnsi="Times New Roman" w:cs="Times New Roman"/>
          <w:lang w:val="cs-CZ"/>
        </w:rPr>
        <w:instrText> </w:instrText>
      </w:r>
      <w:r w:rsidR="000C4506">
        <w:rPr>
          <w:lang w:val="cs-CZ"/>
        </w:rPr>
        <w:instrText>=</w:instrText>
      </w:r>
      <w:r w:rsidR="000C4506">
        <w:rPr>
          <w:rFonts w:ascii="Times New Roman" w:hAnsi="Times New Roman" w:cs="Times New Roman"/>
          <w:lang w:val="cs-CZ"/>
        </w:rPr>
        <w:instrText> </w:instrText>
      </w:r>
      <w:r w:rsidR="000C4506">
        <w:rPr>
          <w:lang w:val="cs-CZ"/>
        </w:rPr>
        <w:instrText>381; monthly ranibizumab, n</w:instrText>
      </w:r>
      <w:r w:rsidR="000C4506">
        <w:rPr>
          <w:rFonts w:ascii="Times New Roman" w:hAnsi="Times New Roman" w:cs="Times New Roman"/>
          <w:lang w:val="cs-CZ"/>
        </w:rPr>
        <w:instrText> </w:instrText>
      </w:r>
      <w:r w:rsidR="000C4506">
        <w:rPr>
          <w:lang w:val="cs-CZ"/>
        </w:rPr>
        <w:instrText>=</w:instrText>
      </w:r>
      <w:r w:rsidR="000C4506">
        <w:rPr>
          <w:rFonts w:ascii="Times New Roman" w:hAnsi="Times New Roman" w:cs="Times New Roman"/>
          <w:lang w:val="cs-CZ"/>
        </w:rPr>
        <w:instrText> </w:instrText>
      </w:r>
      <w:r w:rsidR="000C4506">
        <w:rPr>
          <w:lang w:val="cs-CZ"/>
        </w:rPr>
        <w:instrText>253). The mean (SD) age at baseline was 60.7 (9.6) years; 363 (57.3%) participants were male and 271 (42.7%) female. Adjusted mean BCVA change from baseline averaged over weeks 60 and 64 was an increase of 9.6 letters for PDS Q24W and 9.4 letters for monthly ranibizumab (difference, 0.2; 95% CI, −1.2 to 1.6), meeting the primary end point of PDS noninferiority (margin, –4.5 letters). PDS Q24W participants had a mean (SD) decrease of 6.7 (12.0) letters 4 weeks after PDS insertion; mean BCVA was similar to monthly ranibizumab 16 weeks after implantation. Adverse events of special interest were more common in the PDS Q24W group (88 participants; 27.5%) than the monthly ranibizumab group (28 participants; 8.9%). No cases of endophthalmitis or retinal detachment were reported with PDS Q24W.&lt;/p&gt;&lt;h3&gt;Conclusions and Relevance&lt;/h3&gt;&lt;p&gt;This trial found that changes in BCVA from baseline averaged over weeks 60/64 in the PDS Q24W group w…","author":[{"dropping-particle":"","family":"Khanani","given":"Arshad M.","non-dropping-particle":"","parse-names":false,"suffix":""},{"dropping-particle":"","family":"Campochiaro","given":"Peter A.","non-dropping-particle":"","parse-names":false,"suffix":""},{"dropping-particle":"","family":"Graff","given":"Jordan M.","non-dropping-particle":"","parse-names":false,"suffix":""},{"dropping-particle":"","family":"Marcus","given":"Dennis M.","non-dropping-particle":"","parse-names":false,"suffix":""},{"dropping-particle":"","family":"Miller","given":"Daniel","non-dropping-particle":"","parse-names":false,"suffix":""},{"dropping-particle":"","family":"Mittra","given":"Robert A.","non-dropping-particle":"","parse-names":false,"suffix":""},{"dropping-particle":"","family":"Regillo","given":"Carl","non-dropping-particle":"","parse-names":false,"suffix":""},{"dropping-particle":"","family":"Sheth","given":"Veeral S.","non-dropping-particle":"","parse-names":false,"suffix":""},{"dropping-particle":"","family":"Bobbala","given":"Ashwini","non-dropping-particle":"","parse-names":false,"suffix":""},{"dropping-particle":"","family":"Gune","given":"Shamika","non-dropping-particle":"","parse-names":false,"suffix":""},{"dropping-particle":"","family":"Lin","given":"Stephanie","non-dropping-particle":"","parse-names":false,"suffix":""},{"dropping-particle":"","family":"Quezada-Ruiz","given":"Carlos","non-dropping-particle":"","parse-names":false,"suffix":""},{"dropping-particle":"","family":"Malhotra","given":"Varun","non-dropping-particle":"","parse-names":false,"suffix":""}],"container-title":"JAMA Ophthalmology","id":"ITEM-1","issue":"4","issued":{"date-parts":[["2025","4","1"]]},"page":"326-335","publisher":"American Medical Association","title":"Continuous Ranibizumab via Port Delivery System vs Monthly Ranibizumab for Treatment of Diabetic Macular Edema: The Pagoda Randomized Clinical Trial","type":"article-journal","volume":"143"},"uris":["http://www.mendeley.com/documents/?uuid=8128e666-cc26-3573-8522-3e1655177e6a"]},{"id":"ITEM-2","itemData":{"DOI":"10.35749/V8VMP587","ISSN":"2460-545X","abstract":"Introduction &amp;amp; ObjectivesRanibizumab port delivery system (PDS) is a newly developed method that provides a continuous,long-term supply of ranibizumab into the vitreous, reducing the burden of monthly intravitrealinjection visits for neovascular age-related macular degeneration (nAMD) patients. This review aimsto evaluate the efficacy and safety of ranibizumab PDS in nAMD.\nMethodsAn extensive literature search was performed on 4 online databases: PubMed, Cochrane, ProQuest,and ScienceDirect. The inclusion criteria are human studies comparing ranibizumab port deliverysystem and intravitreal ranibizumab, English language, with full-text journal available. The mainoutcome measurements are best-corrected visual acuity (BCVA) in Early Treatment DiabeticRetinopathy Study (ETDRS) letters, central foveal thickness (CFT), and adverse events.\nResultsTwo randomized controlled trials (RCTs) with a total of 638 adults were evaluated. At week 96,ranibizumab PDS reported observed mean BCVA changes from baseline (-1.0; +4.2; ETDRS letters)compared to monthly intravitreal ranibizumab (-1.1; +6.1; ETDRS letters). However, there was anincrease in mean CFT changes from baseline (+9.9; +22.3 vs ?1.3; ?35.8, ?m) and severe adverseevents frequency (22; 4 vs 4; 0) with ranibizumab PDS versus monthly intravitreal ranibizumab,respectively.\nConclusionRanibizumab PDS showed comparable visual outcomes to intravitreal ranibizumab whiledemonstrating inferior anatomical outcomes and higher incidence of severe adverse effects. Despitethis, with fewer treatment visits required for up to 24 weeks, ranibizumab PDS can potentiallyreduce the treatment burden in nAMD patients with poor compliance. Further studies are needed toprovide better patient eligibility guidelines and recommendations for adverse event management ofranibizumab PDS.","author":[{"dropping-particle":"","family":"Paramitha","given":"Dewa Ayu Anggi","non-dropping-particle":"","parse-names":false,"suffix":""},{"dropping-particle":"","family":"Putri","given":"Ajeng Kartika Ayu","non-dropping-particle":"","parse-names":false,"suffix":""},{"dropping-particle":"","family":"Ardhia","given":"Seruni Hanna","non-dropping-particle":"","parse-names":false,"suffix":""},{"dropping-particle":"","family":"Jutamulia","given":"Jovita","non-dropping-particle":"","parse-names":false,"suffix":""}],"container-title":"Ophthalmologica Indonesiana","id":"ITEM-2","issue":"S2","issued":{"date-parts":[["2023","2","12"]]},"publisher":"Pesatuan Dokter Spesialis Mata Indonesia","title":"Reducing Treatment Burden for Age-Related Macular Degeneration Patients: A Systematic Review of Ranibizumab Port Delivery System: Oral Presentation - Observational Study - General practitioner","type":"article-journal","volume":"49"},"uris":["http://www.mendeley.com/documents/?uuid=151f1bd1-f92d-3798-8baf-1010eb034767"]},{"id":"ITEM-3","itemData":{"author":[{"dropping-particle":"","family":"F. Hoffmann-La Roche Ltd","given":"","non-dropping-particle":"","parse-names":false,"suffix":""}],"id":"ITEM-3","issued":{"date-parts":[["2024"]]},"page":"34","publisher-place":"Basel","title":"Contivue® Summary of Safety and Clinical Performance Report, SSCP Model Document Version 2.0; 06-Sep-2024","type":"article"},"uris":["http://www.mendeley.com/documents/?uuid=f76a851e-e0bc-46bd-a74b-d169d2d7eb10"]}],"mendeley":{"formattedCitation":"[2, 12, 13]","plainTextFormattedCitation":"[2, 12, 13]","previouslyFormattedCitation":"[2, 12, 13]"},"properties":{"noteIndex":0},"schema":"https://github.com/citation-style-language/schema/raw/master/csl-citation.json"}</w:instrText>
      </w:r>
      <w:r w:rsidR="006C7C9F">
        <w:rPr>
          <w:lang w:val="cs-CZ"/>
        </w:rPr>
        <w:fldChar w:fldCharType="separate"/>
      </w:r>
      <w:r w:rsidR="006C7C9F" w:rsidRPr="006C7C9F">
        <w:rPr>
          <w:noProof/>
          <w:lang w:val="cs-CZ"/>
        </w:rPr>
        <w:t>[2, 12, 13]</w:t>
      </w:r>
      <w:r w:rsidR="006C7C9F">
        <w:rPr>
          <w:lang w:val="cs-CZ"/>
        </w:rPr>
        <w:fldChar w:fldCharType="end"/>
      </w:r>
    </w:p>
    <w:p w14:paraId="0B4749A5" w14:textId="77777777" w:rsidR="009636CF" w:rsidRDefault="009636CF" w:rsidP="009636CF"/>
    <w:p w14:paraId="2B208ED0" w14:textId="77777777" w:rsidR="000C4506" w:rsidRDefault="000C4506" w:rsidP="009636CF"/>
    <w:p w14:paraId="5A93CC35" w14:textId="77777777" w:rsidR="000C4506" w:rsidRDefault="000C4506" w:rsidP="009636CF"/>
    <w:p w14:paraId="6BAA90A9" w14:textId="602AE6F1" w:rsidR="00D06F7E" w:rsidRPr="009636CF" w:rsidRDefault="00D06F7E" w:rsidP="00D06F7E">
      <w:pPr>
        <w:pStyle w:val="Nadpis3"/>
      </w:pPr>
      <w:r>
        <w:t>Shrnutí jednotlivých odborných studií</w:t>
      </w:r>
    </w:p>
    <w:tbl>
      <w:tblPr>
        <w:tblW w:w="0" w:type="auto"/>
        <w:shd w:val="clear" w:color="auto" w:fill="FFFFFF"/>
        <w:tblCellMar>
          <w:top w:w="15" w:type="dxa"/>
          <w:left w:w="15" w:type="dxa"/>
          <w:bottom w:w="15" w:type="dxa"/>
          <w:right w:w="15" w:type="dxa"/>
        </w:tblCellMar>
        <w:tblLook w:val="04A0" w:firstRow="1" w:lastRow="0" w:firstColumn="1" w:lastColumn="0" w:noHBand="0" w:noVBand="1"/>
      </w:tblPr>
      <w:tblGrid>
        <w:gridCol w:w="1952"/>
        <w:gridCol w:w="1166"/>
        <w:gridCol w:w="533"/>
        <w:gridCol w:w="1754"/>
        <w:gridCol w:w="974"/>
        <w:gridCol w:w="2693"/>
      </w:tblGrid>
      <w:tr w:rsidR="004F136F" w:rsidRPr="004F136F" w14:paraId="41C4D0E1" w14:textId="77777777" w:rsidTr="004F136F">
        <w:tc>
          <w:tcPr>
            <w:tcW w:w="0" w:type="auto"/>
            <w:tcBorders>
              <w:bottom w:val="single" w:sz="6" w:space="0" w:color="919191"/>
            </w:tcBorders>
            <w:shd w:val="clear" w:color="auto" w:fill="FFFFFF"/>
            <w:hideMark/>
          </w:tcPr>
          <w:p w14:paraId="083EF34C" w14:textId="77777777" w:rsidR="004F136F" w:rsidRPr="004F136F" w:rsidRDefault="004F136F" w:rsidP="004F136F">
            <w:pPr>
              <w:jc w:val="center"/>
              <w:rPr>
                <w:rFonts w:ascii="Avenir Book" w:eastAsia="Times New Roman" w:hAnsi="Avenir Book" w:cs="Times New Roman"/>
                <w:b/>
                <w:bCs/>
                <w:color w:val="303030"/>
                <w:sz w:val="18"/>
                <w:szCs w:val="18"/>
                <w:lang w:val="cs-CZ"/>
              </w:rPr>
            </w:pPr>
            <w:r w:rsidRPr="004F136F">
              <w:rPr>
                <w:rFonts w:ascii="Avenir Book" w:eastAsia="Times New Roman" w:hAnsi="Avenir Book" w:cs="Times New Roman"/>
                <w:b/>
                <w:bCs/>
                <w:color w:val="303030"/>
                <w:sz w:val="18"/>
                <w:szCs w:val="18"/>
                <w:lang w:val="cs-CZ"/>
              </w:rPr>
              <w:t>Název článku</w:t>
            </w:r>
          </w:p>
        </w:tc>
        <w:tc>
          <w:tcPr>
            <w:tcW w:w="0" w:type="auto"/>
            <w:tcBorders>
              <w:bottom w:val="single" w:sz="6" w:space="0" w:color="919191"/>
            </w:tcBorders>
            <w:shd w:val="clear" w:color="auto" w:fill="FFFFFF"/>
            <w:hideMark/>
          </w:tcPr>
          <w:p w14:paraId="72084DD3" w14:textId="77777777" w:rsidR="004F136F" w:rsidRPr="004F136F" w:rsidRDefault="004F136F" w:rsidP="004F136F">
            <w:pPr>
              <w:jc w:val="center"/>
              <w:rPr>
                <w:rFonts w:ascii="Avenir Book" w:eastAsia="Times New Roman" w:hAnsi="Avenir Book" w:cs="Times New Roman"/>
                <w:b/>
                <w:bCs/>
                <w:color w:val="303030"/>
                <w:sz w:val="18"/>
                <w:szCs w:val="18"/>
                <w:lang w:val="cs-CZ"/>
              </w:rPr>
            </w:pPr>
            <w:r w:rsidRPr="004F136F">
              <w:rPr>
                <w:rFonts w:ascii="Avenir Book" w:eastAsia="Times New Roman" w:hAnsi="Avenir Book" w:cs="Times New Roman"/>
                <w:b/>
                <w:bCs/>
                <w:color w:val="303030"/>
                <w:sz w:val="18"/>
                <w:szCs w:val="18"/>
                <w:lang w:val="cs-CZ"/>
              </w:rPr>
              <w:t>Autor</w:t>
            </w:r>
          </w:p>
        </w:tc>
        <w:tc>
          <w:tcPr>
            <w:tcW w:w="0" w:type="auto"/>
            <w:tcBorders>
              <w:bottom w:val="single" w:sz="6" w:space="0" w:color="919191"/>
            </w:tcBorders>
            <w:shd w:val="clear" w:color="auto" w:fill="FFFFFF"/>
            <w:hideMark/>
          </w:tcPr>
          <w:p w14:paraId="439E7FBA" w14:textId="77777777" w:rsidR="004F136F" w:rsidRPr="004F136F" w:rsidRDefault="004F136F" w:rsidP="004F136F">
            <w:pPr>
              <w:jc w:val="center"/>
              <w:rPr>
                <w:rFonts w:ascii="Avenir Book" w:eastAsia="Times New Roman" w:hAnsi="Avenir Book" w:cs="Times New Roman"/>
                <w:b/>
                <w:bCs/>
                <w:color w:val="303030"/>
                <w:sz w:val="18"/>
                <w:szCs w:val="18"/>
                <w:lang w:val="cs-CZ"/>
              </w:rPr>
            </w:pPr>
            <w:r w:rsidRPr="004F136F">
              <w:rPr>
                <w:rFonts w:ascii="Avenir Book" w:eastAsia="Times New Roman" w:hAnsi="Avenir Book" w:cs="Times New Roman"/>
                <w:b/>
                <w:bCs/>
                <w:color w:val="303030"/>
                <w:sz w:val="18"/>
                <w:szCs w:val="18"/>
                <w:lang w:val="cs-CZ"/>
              </w:rPr>
              <w:t>Rok studie</w:t>
            </w:r>
          </w:p>
        </w:tc>
        <w:tc>
          <w:tcPr>
            <w:tcW w:w="1754" w:type="dxa"/>
            <w:tcBorders>
              <w:bottom w:val="single" w:sz="6" w:space="0" w:color="919191"/>
            </w:tcBorders>
            <w:shd w:val="clear" w:color="auto" w:fill="FFFFFF"/>
            <w:hideMark/>
          </w:tcPr>
          <w:p w14:paraId="3296E7F3" w14:textId="77777777" w:rsidR="004F136F" w:rsidRPr="004F136F" w:rsidRDefault="004F136F" w:rsidP="004F136F">
            <w:pPr>
              <w:jc w:val="center"/>
              <w:rPr>
                <w:rFonts w:ascii="Avenir Book" w:eastAsia="Times New Roman" w:hAnsi="Avenir Book" w:cs="Times New Roman"/>
                <w:b/>
                <w:bCs/>
                <w:color w:val="303030"/>
                <w:sz w:val="18"/>
                <w:szCs w:val="18"/>
                <w:lang w:val="cs-CZ"/>
              </w:rPr>
            </w:pPr>
            <w:r w:rsidRPr="004F136F">
              <w:rPr>
                <w:rFonts w:ascii="Avenir Book" w:eastAsia="Times New Roman" w:hAnsi="Avenir Book" w:cs="Times New Roman"/>
                <w:b/>
                <w:bCs/>
                <w:color w:val="303030"/>
                <w:sz w:val="18"/>
                <w:szCs w:val="18"/>
                <w:lang w:val="cs-CZ"/>
              </w:rPr>
              <w:t>Typ studie</w:t>
            </w:r>
          </w:p>
        </w:tc>
        <w:tc>
          <w:tcPr>
            <w:tcW w:w="475" w:type="dxa"/>
            <w:tcBorders>
              <w:bottom w:val="single" w:sz="6" w:space="0" w:color="919191"/>
            </w:tcBorders>
            <w:shd w:val="clear" w:color="auto" w:fill="FFFFFF"/>
            <w:hideMark/>
          </w:tcPr>
          <w:p w14:paraId="624D25E6" w14:textId="77777777" w:rsidR="004F136F" w:rsidRPr="004F136F" w:rsidRDefault="004F136F" w:rsidP="004F136F">
            <w:pPr>
              <w:jc w:val="center"/>
              <w:rPr>
                <w:rFonts w:ascii="Avenir Book" w:eastAsia="Times New Roman" w:hAnsi="Avenir Book" w:cs="Times New Roman"/>
                <w:b/>
                <w:bCs/>
                <w:color w:val="303030"/>
                <w:sz w:val="18"/>
                <w:szCs w:val="18"/>
                <w:lang w:val="cs-CZ"/>
              </w:rPr>
            </w:pPr>
            <w:r w:rsidRPr="004F136F">
              <w:rPr>
                <w:rFonts w:ascii="Avenir Book" w:eastAsia="Times New Roman" w:hAnsi="Avenir Book" w:cs="Times New Roman"/>
                <w:b/>
                <w:bCs/>
                <w:color w:val="303030"/>
                <w:sz w:val="18"/>
                <w:szCs w:val="18"/>
                <w:lang w:val="cs-CZ"/>
              </w:rPr>
              <w:t>Počet pacientů</w:t>
            </w:r>
          </w:p>
        </w:tc>
        <w:tc>
          <w:tcPr>
            <w:tcW w:w="2693" w:type="dxa"/>
            <w:tcBorders>
              <w:bottom w:val="single" w:sz="6" w:space="0" w:color="919191"/>
            </w:tcBorders>
            <w:shd w:val="clear" w:color="auto" w:fill="FFFFFF"/>
            <w:hideMark/>
          </w:tcPr>
          <w:p w14:paraId="44B3D37A" w14:textId="77777777" w:rsidR="004F136F" w:rsidRPr="004F136F" w:rsidRDefault="004F136F" w:rsidP="004F136F">
            <w:pPr>
              <w:jc w:val="center"/>
              <w:rPr>
                <w:rFonts w:ascii="Avenir Book" w:eastAsia="Times New Roman" w:hAnsi="Avenir Book" w:cs="Times New Roman"/>
                <w:b/>
                <w:bCs/>
                <w:color w:val="303030"/>
                <w:sz w:val="18"/>
                <w:szCs w:val="18"/>
                <w:lang w:val="cs-CZ"/>
              </w:rPr>
            </w:pPr>
            <w:r w:rsidRPr="004F136F">
              <w:rPr>
                <w:rFonts w:ascii="Avenir Book" w:eastAsia="Times New Roman" w:hAnsi="Avenir Book" w:cs="Times New Roman"/>
                <w:b/>
                <w:bCs/>
                <w:color w:val="303030"/>
                <w:sz w:val="18"/>
                <w:szCs w:val="18"/>
                <w:lang w:val="cs-CZ"/>
              </w:rPr>
              <w:t>Klinické výstupy</w:t>
            </w:r>
          </w:p>
        </w:tc>
      </w:tr>
      <w:tr w:rsidR="004F136F" w:rsidRPr="004F136F" w14:paraId="7CAD82A2" w14:textId="77777777" w:rsidTr="004F136F">
        <w:tc>
          <w:tcPr>
            <w:tcW w:w="0" w:type="auto"/>
            <w:tcBorders>
              <w:bottom w:val="single" w:sz="6" w:space="0" w:color="DDE1EB"/>
            </w:tcBorders>
            <w:shd w:val="clear" w:color="auto" w:fill="FFFFFF"/>
            <w:hideMark/>
          </w:tcPr>
          <w:p w14:paraId="02C55DCF" w14:textId="7415AA33" w:rsidR="004F136F" w:rsidRPr="004F136F" w:rsidRDefault="004F136F" w:rsidP="004F136F">
            <w:pPr>
              <w:rPr>
                <w:rFonts w:ascii="Avenir Book" w:eastAsia="Times New Roman" w:hAnsi="Avenir Book" w:cs="Times New Roman"/>
                <w:color w:val="303030"/>
                <w:sz w:val="18"/>
                <w:szCs w:val="18"/>
                <w:lang w:val="cs-CZ"/>
              </w:rPr>
            </w:pPr>
            <w:r w:rsidRPr="004F136F">
              <w:rPr>
                <w:rFonts w:ascii="Avenir Book" w:eastAsia="Times New Roman" w:hAnsi="Avenir Book" w:cs="Times New Roman"/>
                <w:color w:val="303030"/>
                <w:sz w:val="18"/>
                <w:szCs w:val="18"/>
                <w:lang w:val="cs-CZ"/>
              </w:rPr>
              <w:t xml:space="preserve">Ranibizumab versus Verteporfin for </w:t>
            </w:r>
            <w:r w:rsidRPr="004F136F">
              <w:rPr>
                <w:rFonts w:ascii="Avenir Book" w:eastAsia="Times New Roman" w:hAnsi="Avenir Book" w:cs="Times New Roman"/>
                <w:color w:val="303030"/>
                <w:sz w:val="18"/>
                <w:szCs w:val="18"/>
                <w:lang w:val="cs-CZ"/>
              </w:rPr>
              <w:lastRenderedPageBreak/>
              <w:t>Neovascular Age-Related Macular Degeneration (studie: ANCHOR)</w:t>
            </w:r>
            <w:r w:rsidR="00ED19F2">
              <w:rPr>
                <w:rFonts w:ascii="Avenir Book" w:eastAsia="Times New Roman" w:hAnsi="Avenir Book" w:cs="Times New Roman"/>
                <w:color w:val="303030"/>
                <w:sz w:val="18"/>
                <w:szCs w:val="18"/>
                <w:lang w:val="cs-CZ"/>
              </w:rPr>
              <w:t xml:space="preserve"> </w:t>
            </w:r>
            <w:r w:rsidR="000C4506">
              <w:rPr>
                <w:rFonts w:ascii="Avenir Book" w:eastAsia="Times New Roman" w:hAnsi="Avenir Book" w:cs="Times New Roman"/>
                <w:color w:val="303030"/>
                <w:sz w:val="18"/>
                <w:szCs w:val="18"/>
                <w:lang w:val="cs-CZ"/>
              </w:rPr>
              <w:fldChar w:fldCharType="begin" w:fldLock="1"/>
            </w:r>
            <w:r w:rsidR="000C4506">
              <w:rPr>
                <w:rFonts w:ascii="Avenir Book" w:eastAsia="Times New Roman" w:hAnsi="Avenir Book" w:cs="Times New Roman"/>
                <w:color w:val="303030"/>
                <w:sz w:val="18"/>
                <w:szCs w:val="18"/>
                <w:lang w:val="cs-CZ"/>
              </w:rPr>
              <w:instrText>ADDIN CSL_CITATION {"citationItems":[{"id":"ITEM-1","itemData":{"DOI":"10.1056/NEJMOA062655","ISSN":"1533-4406","PMID":"17021319","abstract":"BACKGROUND We compared ranibizumab--a recombinant, humanized, monoclonal antibody Fab that neutralizes all active forms of vascular endothelial growth factor A--with photodynamic therapy with verteporfin in the treatment of predominantly classic neovascular age-related macular degeneration. METHODS During the first year of this 2-year, multicenter, double-blind study, we randomly assigned patients in a 1:1:1 ratio to receive monthly intravitreal injections of ranibizumab (0.3 mg or 0.5 mg) plus sham verteporfin therapy or monthly sham injections plus active verteporfin therapy. The primary end point was the proportion of patients losing fewer than 15 letters from baseline visual acuity at 12 months. RESULTS Of the 423 patients enrolled, 94.3% of those given 0.3 mg of ranibizumab and 96.4% of those given 0.5 mg lost fewer than 15 letters, as compared with 64.3% of those in the verteporfin group (P&lt;0.001 for each comparison). Visual acuity improved by 15 letters or more in 35.7% of the 0.3-mg group and 40.3% of the 0.5-mg group, as compared with 5.6% of the verteporfin group (P&lt;0.001 for each comparison). Mean visual acuity increased by 8.5 letters in the 0.3-mg group and 11.3 letters in the 0.5-mg group, as compared with a decrease of 9.5 letters in the verteporfin group (P&lt;0.001 for each comparison). Among 140 patients treated with 0.5 mg of ranibizumab, presumed endophthalmitis occurred in 2 patients (1.4%) and serious uveitis in 1 (0.7%). CONCLUSIONS Ranibizumab was superior to verteporfin as intravitreal treatment of predominantly classic neovascular age-related macular degeneration, with low rates of serious ocular adverse events. Treatment improved visual acuity on average at 1 year. (ClinicalTrials.gov number, NCT00061594 [ClinicalTrials.gov].).","author":[{"dropping-particle":"","family":"Brown","given":"David M.","non-dropping-particle":"","parse-names":false,"suffix":""},{"dropping-particle":"","family":"Kaiser","given":"Peter K.","non-dropping-particle":"","parse-names":false,"suffix":""},{"dropping-particle":"","family":"Michels","given":"Mark","non-dropping-particle":"","parse-names":false,"suffix":""},{"dropping-particle":"","family":"Soubrane","given":"Gisele","non-dropping-particle":"","parse-names":false,"suffix":""},{"dropping-particle":"","family":"Heier","given":"Jeffrey S.","non-dropping-particle":"","parse-names":false,"suffix":""},{"dropping-particle":"","family":"Kim","given":"Robert Y.","non-dropping-particle":"","parse-names":false,"suffix":""},{"dropping-particle":"","family":"Sy","given":"Judy P.","non-dropping-particle":"","parse-names":false,"suffix":""},{"dropping-particle":"","family":"Schneider","given":"Susan","non-dropping-particle":"","parse-names":false,"suffix":""}],"container-title":"The New England journal of medicine","id":"ITEM-1","issue":"14","issued":{"date-parts":[["2006","10","5"]]},"page":"1432-1444","publisher":"N Engl J Med","title":"Ranibizumab versus verteporfin for neovascular age-related macular degeneration","type":"article-journal","volume":"355"},"uris":["http://www.mendeley.com/documents/?uuid=ef2065f7-ae51-30b0-b44a-f51aecdfab69"]}],"mendeley":{"formattedCitation":"[10]","plainTextFormattedCitation":"[10]","previouslyFormattedCitation":"[10]"},"properties":{"noteIndex":0},"schema":"https://github.com/citation-style-language/schema/raw/master/csl-citation.json"}</w:instrText>
            </w:r>
            <w:r w:rsidR="000C4506">
              <w:rPr>
                <w:rFonts w:ascii="Avenir Book" w:eastAsia="Times New Roman" w:hAnsi="Avenir Book" w:cs="Times New Roman"/>
                <w:color w:val="303030"/>
                <w:sz w:val="18"/>
                <w:szCs w:val="18"/>
                <w:lang w:val="cs-CZ"/>
              </w:rPr>
              <w:fldChar w:fldCharType="separate"/>
            </w:r>
            <w:r w:rsidR="000C4506" w:rsidRPr="000C4506">
              <w:rPr>
                <w:rFonts w:ascii="Avenir Book" w:eastAsia="Times New Roman" w:hAnsi="Avenir Book" w:cs="Times New Roman"/>
                <w:noProof/>
                <w:color w:val="303030"/>
                <w:sz w:val="18"/>
                <w:szCs w:val="18"/>
                <w:lang w:val="cs-CZ"/>
              </w:rPr>
              <w:t>[10]</w:t>
            </w:r>
            <w:r w:rsidR="000C4506">
              <w:rPr>
                <w:rFonts w:ascii="Avenir Book" w:eastAsia="Times New Roman" w:hAnsi="Avenir Book" w:cs="Times New Roman"/>
                <w:color w:val="303030"/>
                <w:sz w:val="18"/>
                <w:szCs w:val="18"/>
                <w:lang w:val="cs-CZ"/>
              </w:rPr>
              <w:fldChar w:fldCharType="end"/>
            </w:r>
          </w:p>
        </w:tc>
        <w:tc>
          <w:tcPr>
            <w:tcW w:w="0" w:type="auto"/>
            <w:tcBorders>
              <w:bottom w:val="single" w:sz="6" w:space="0" w:color="DDE1EB"/>
            </w:tcBorders>
            <w:shd w:val="clear" w:color="auto" w:fill="FFFFFF"/>
            <w:hideMark/>
          </w:tcPr>
          <w:p w14:paraId="68AC7649" w14:textId="77777777" w:rsidR="004F136F" w:rsidRPr="004F136F" w:rsidRDefault="004F136F" w:rsidP="004F136F">
            <w:pPr>
              <w:rPr>
                <w:rFonts w:ascii="Avenir Book" w:eastAsia="Times New Roman" w:hAnsi="Avenir Book" w:cs="Times New Roman"/>
                <w:color w:val="303030"/>
                <w:sz w:val="18"/>
                <w:szCs w:val="18"/>
                <w:lang w:val="cs-CZ"/>
              </w:rPr>
            </w:pPr>
            <w:r w:rsidRPr="004F136F">
              <w:rPr>
                <w:rFonts w:ascii="Avenir Book" w:eastAsia="Times New Roman" w:hAnsi="Avenir Book" w:cs="Times New Roman"/>
                <w:color w:val="303030"/>
                <w:sz w:val="18"/>
                <w:szCs w:val="18"/>
                <w:lang w:val="cs-CZ"/>
              </w:rPr>
              <w:lastRenderedPageBreak/>
              <w:t>David M. Brown et al.</w:t>
            </w:r>
          </w:p>
        </w:tc>
        <w:tc>
          <w:tcPr>
            <w:tcW w:w="0" w:type="auto"/>
            <w:tcBorders>
              <w:bottom w:val="single" w:sz="6" w:space="0" w:color="DDE1EB"/>
            </w:tcBorders>
            <w:shd w:val="clear" w:color="auto" w:fill="FFFFFF"/>
            <w:hideMark/>
          </w:tcPr>
          <w:p w14:paraId="3B42AF2E" w14:textId="77777777" w:rsidR="004F136F" w:rsidRPr="004F136F" w:rsidRDefault="004F136F" w:rsidP="004F136F">
            <w:pPr>
              <w:rPr>
                <w:rFonts w:ascii="Avenir Book" w:eastAsia="Times New Roman" w:hAnsi="Avenir Book" w:cs="Times New Roman"/>
                <w:color w:val="303030"/>
                <w:sz w:val="18"/>
                <w:szCs w:val="18"/>
                <w:lang w:val="cs-CZ"/>
              </w:rPr>
            </w:pPr>
            <w:r w:rsidRPr="004F136F">
              <w:rPr>
                <w:rFonts w:ascii="Avenir Book" w:eastAsia="Times New Roman" w:hAnsi="Avenir Book" w:cs="Times New Roman"/>
                <w:color w:val="303030"/>
                <w:sz w:val="18"/>
                <w:szCs w:val="18"/>
                <w:lang w:val="cs-CZ"/>
              </w:rPr>
              <w:t>2006</w:t>
            </w:r>
          </w:p>
        </w:tc>
        <w:tc>
          <w:tcPr>
            <w:tcW w:w="1754" w:type="dxa"/>
            <w:tcBorders>
              <w:bottom w:val="single" w:sz="6" w:space="0" w:color="DDE1EB"/>
            </w:tcBorders>
            <w:shd w:val="clear" w:color="auto" w:fill="FFFFFF"/>
            <w:hideMark/>
          </w:tcPr>
          <w:p w14:paraId="08474E55" w14:textId="77777777" w:rsidR="004F136F" w:rsidRPr="004F136F" w:rsidRDefault="004F136F" w:rsidP="004F136F">
            <w:pPr>
              <w:rPr>
                <w:rFonts w:ascii="Avenir Book" w:eastAsia="Times New Roman" w:hAnsi="Avenir Book" w:cs="Times New Roman"/>
                <w:color w:val="303030"/>
                <w:sz w:val="18"/>
                <w:szCs w:val="18"/>
                <w:lang w:val="cs-CZ"/>
              </w:rPr>
            </w:pPr>
            <w:r w:rsidRPr="004F136F">
              <w:rPr>
                <w:rFonts w:ascii="Avenir Book" w:eastAsia="Times New Roman" w:hAnsi="Avenir Book" w:cs="Times New Roman"/>
                <w:color w:val="303030"/>
                <w:sz w:val="18"/>
                <w:szCs w:val="18"/>
                <w:lang w:val="cs-CZ"/>
              </w:rPr>
              <w:t xml:space="preserve">Fáze 3, multicentrická, </w:t>
            </w:r>
            <w:r w:rsidRPr="004F136F">
              <w:rPr>
                <w:rFonts w:ascii="Avenir Book" w:eastAsia="Times New Roman" w:hAnsi="Avenir Book" w:cs="Times New Roman"/>
                <w:color w:val="303030"/>
                <w:sz w:val="18"/>
                <w:szCs w:val="18"/>
                <w:lang w:val="cs-CZ"/>
              </w:rPr>
              <w:lastRenderedPageBreak/>
              <w:t>randomizovaná, dvojitě zaslepená studie</w:t>
            </w:r>
          </w:p>
        </w:tc>
        <w:tc>
          <w:tcPr>
            <w:tcW w:w="475" w:type="dxa"/>
            <w:tcBorders>
              <w:bottom w:val="single" w:sz="6" w:space="0" w:color="DDE1EB"/>
            </w:tcBorders>
            <w:shd w:val="clear" w:color="auto" w:fill="FFFFFF"/>
            <w:hideMark/>
          </w:tcPr>
          <w:p w14:paraId="3294C575" w14:textId="77777777" w:rsidR="004F136F" w:rsidRPr="004F136F" w:rsidRDefault="004F136F" w:rsidP="004F136F">
            <w:pPr>
              <w:rPr>
                <w:rFonts w:ascii="Avenir Book" w:eastAsia="Times New Roman" w:hAnsi="Avenir Book" w:cs="Times New Roman"/>
                <w:color w:val="303030"/>
                <w:sz w:val="18"/>
                <w:szCs w:val="18"/>
                <w:lang w:val="cs-CZ"/>
              </w:rPr>
            </w:pPr>
            <w:r w:rsidRPr="004F136F">
              <w:rPr>
                <w:rFonts w:ascii="Avenir Book" w:eastAsia="Times New Roman" w:hAnsi="Avenir Book" w:cs="Times New Roman"/>
                <w:color w:val="303030"/>
                <w:sz w:val="18"/>
                <w:szCs w:val="18"/>
                <w:lang w:val="cs-CZ"/>
              </w:rPr>
              <w:lastRenderedPageBreak/>
              <w:t>423</w:t>
            </w:r>
          </w:p>
        </w:tc>
        <w:tc>
          <w:tcPr>
            <w:tcW w:w="2693" w:type="dxa"/>
            <w:tcBorders>
              <w:bottom w:val="single" w:sz="6" w:space="0" w:color="DDE1EB"/>
            </w:tcBorders>
            <w:shd w:val="clear" w:color="auto" w:fill="FFFFFF"/>
            <w:hideMark/>
          </w:tcPr>
          <w:p w14:paraId="1067E449" w14:textId="77777777" w:rsidR="004F136F" w:rsidRPr="000C4506" w:rsidRDefault="004F136F" w:rsidP="004F136F">
            <w:pPr>
              <w:rPr>
                <w:rFonts w:ascii="Avenir Book" w:eastAsia="Times New Roman" w:hAnsi="Avenir Book" w:cs="Times New Roman"/>
                <w:color w:val="303030"/>
                <w:sz w:val="18"/>
                <w:szCs w:val="18"/>
                <w:lang w:val="cs-CZ"/>
              </w:rPr>
            </w:pPr>
            <w:r w:rsidRPr="000C4506">
              <w:rPr>
                <w:rFonts w:ascii="Avenir Book" w:eastAsia="Times New Roman" w:hAnsi="Avenir Book" w:cs="Times New Roman"/>
                <w:color w:val="303030"/>
                <w:sz w:val="18"/>
                <w:szCs w:val="18"/>
                <w:lang w:val="cs-CZ"/>
              </w:rPr>
              <w:t xml:space="preserve">Ranibizumab byl vysoce nadřazen verteporfinu v prevenci </w:t>
            </w:r>
            <w:r w:rsidRPr="000C4506">
              <w:rPr>
                <w:rFonts w:ascii="Avenir Book" w:eastAsia="Times New Roman" w:hAnsi="Avenir Book" w:cs="Times New Roman"/>
                <w:color w:val="303030"/>
                <w:sz w:val="18"/>
                <w:szCs w:val="18"/>
                <w:lang w:val="cs-CZ"/>
              </w:rPr>
              <w:lastRenderedPageBreak/>
              <w:t>ztráty zraku a zlepšení zrakové ostrosti. Míra závažných očních nežádoucích účinků byla velmi nízká.</w:t>
            </w:r>
          </w:p>
        </w:tc>
      </w:tr>
      <w:tr w:rsidR="004F136F" w:rsidRPr="004F136F" w14:paraId="53DD2B4A" w14:textId="77777777" w:rsidTr="004F136F">
        <w:tc>
          <w:tcPr>
            <w:tcW w:w="0" w:type="auto"/>
            <w:tcBorders>
              <w:bottom w:val="single" w:sz="6" w:space="0" w:color="DDE1EB"/>
            </w:tcBorders>
            <w:shd w:val="clear" w:color="auto" w:fill="FFFFFF"/>
            <w:hideMark/>
          </w:tcPr>
          <w:p w14:paraId="78EEC38F" w14:textId="3ABC149B" w:rsidR="004F136F" w:rsidRPr="004F136F" w:rsidRDefault="004F136F" w:rsidP="004F136F">
            <w:pPr>
              <w:rPr>
                <w:rFonts w:ascii="Avenir Book" w:eastAsia="Times New Roman" w:hAnsi="Avenir Book" w:cs="Times New Roman"/>
                <w:color w:val="303030"/>
                <w:sz w:val="18"/>
                <w:szCs w:val="18"/>
                <w:lang w:val="cs-CZ"/>
              </w:rPr>
            </w:pPr>
            <w:r w:rsidRPr="004F136F">
              <w:rPr>
                <w:rFonts w:ascii="Avenir Book" w:eastAsia="Times New Roman" w:hAnsi="Avenir Book" w:cs="Times New Roman"/>
                <w:color w:val="303030"/>
                <w:sz w:val="18"/>
                <w:szCs w:val="18"/>
                <w:lang w:val="cs-CZ"/>
              </w:rPr>
              <w:lastRenderedPageBreak/>
              <w:t>The Port Delivery System with Ranibizumab for Neovascular Age-Related Macular Degeneration: Results from the Randomized Phase 2 Ladder Clinical Trial (studie LADDER)</w:t>
            </w:r>
            <w:r w:rsidR="000C4506">
              <w:rPr>
                <w:rFonts w:ascii="Avenir Book" w:eastAsia="Times New Roman" w:hAnsi="Avenir Book" w:cs="Times New Roman"/>
                <w:color w:val="303030"/>
                <w:sz w:val="18"/>
                <w:szCs w:val="18"/>
                <w:lang w:val="cs-CZ"/>
              </w:rPr>
              <w:t xml:space="preserve"> </w:t>
            </w:r>
            <w:r w:rsidR="000C4506">
              <w:rPr>
                <w:rFonts w:ascii="Avenir Book" w:eastAsia="Times New Roman" w:hAnsi="Avenir Book" w:cs="Times New Roman"/>
                <w:color w:val="303030"/>
                <w:sz w:val="18"/>
                <w:szCs w:val="18"/>
                <w:lang w:val="cs-CZ"/>
              </w:rPr>
              <w:fldChar w:fldCharType="begin" w:fldLock="1"/>
            </w:r>
            <w:r w:rsidR="000C4506">
              <w:rPr>
                <w:rFonts w:ascii="Avenir Book" w:eastAsia="Times New Roman" w:hAnsi="Avenir Book" w:cs="Times New Roman"/>
                <w:color w:val="303030"/>
                <w:sz w:val="18"/>
                <w:szCs w:val="18"/>
                <w:lang w:val="cs-CZ"/>
              </w:rPr>
              <w:instrText xml:space="preserve">ADDIN CSL_CITATION {"citationItems":[{"id":"ITEM-1","itemData":{"DOI":"10.1016/j.ophtha.2019.03.036","ISSN":"15494713","PMID":"30946888","abstract":"Purpose: To evaluate the safety and efficacy of the Port Delivery System with ranibizumab (PDS) for neovascular age-related macular degeneration (nAMD) treatment. Design: Phase 2, multicenter, randomized, active treatment–controlled clinical trial. Participants: Patients diagnosed with nAMD within 9 months who had received 2 or more prior anti–vascular endothelial growth factor intravitreal injections and were responsive to treatment. Methods: Patients were randomized 3:3:3:2 to receive the PDS filled with ranibizumab 10 mg/ml, 40 mg/ml, 100 mg/ml, or monthly intravitreal ranibizumab 0.5-mg injections. Main Outcome Measures: Time to first implant refill assessed when the last enrolled patient completed the month 9 visit (primary efficacy end point), improvement in best-corrected visual acuity (BCVA) and central foveal thickness (CFT), and safety. Results: The primary analysis population was 220 patients, with 58, 62, 59, and 41 patients in the PDS 10-mg/ml, PDS 40-mg/ml, PDS 100-mg/ml, and monthly intravitreal ranibizumab 0.5-mg arms, respectively. Median time to first implant refill was 8.7, 13.0, and 15.0 months in the PDS 10-mg/ml, PDS 40-mg/ml, and PDS 100-mg/ml arms, respectively. At month 9, the adjusted mean BCVA change from baseline was </w:instrText>
            </w:r>
            <w:r w:rsidR="000C4506">
              <w:rPr>
                <w:rFonts w:ascii="Times New Roman" w:eastAsia="Times New Roman" w:hAnsi="Times New Roman" w:cs="Times New Roman"/>
                <w:color w:val="303030"/>
                <w:sz w:val="18"/>
                <w:szCs w:val="18"/>
                <w:lang w:val="cs-CZ"/>
              </w:rPr>
              <w:instrText>‒</w:instrText>
            </w:r>
            <w:r w:rsidR="000C4506">
              <w:rPr>
                <w:rFonts w:ascii="Avenir Book" w:eastAsia="Times New Roman" w:hAnsi="Avenir Book" w:cs="Times New Roman"/>
                <w:color w:val="303030"/>
                <w:sz w:val="18"/>
                <w:szCs w:val="18"/>
                <w:lang w:val="cs-CZ"/>
              </w:rPr>
              <w:instrText xml:space="preserve">3.2 Early Treatment Diabetic Retinopathy Study (ETDRS) letters, </w:instrText>
            </w:r>
            <w:r w:rsidR="000C4506">
              <w:rPr>
                <w:rFonts w:ascii="Times New Roman" w:eastAsia="Times New Roman" w:hAnsi="Times New Roman" w:cs="Times New Roman"/>
                <w:color w:val="303030"/>
                <w:sz w:val="18"/>
                <w:szCs w:val="18"/>
                <w:lang w:val="cs-CZ"/>
              </w:rPr>
              <w:instrText>‒</w:instrText>
            </w:r>
            <w:r w:rsidR="000C4506">
              <w:rPr>
                <w:rFonts w:ascii="Avenir Book" w:eastAsia="Times New Roman" w:hAnsi="Avenir Book" w:cs="Times New Roman"/>
                <w:color w:val="303030"/>
                <w:sz w:val="18"/>
                <w:szCs w:val="18"/>
                <w:lang w:val="cs-CZ"/>
              </w:rPr>
              <w:instrText>0.5 ETDRS letters, +5.0 ETDRS letters, and +3.9 ETDRS letters in the PDS 10-mg/ml, PDS 40-mg/ml, PDS 100-mg/ml, and monthly intravitreal ranibizumab 0.5-mg arms, respectively. At month 9, the adjusted mean CFT change from baseline was similar in the PDS 100-mg/ml and monthly intravitreal ranibizumab 0.5-mg arms. The optimized PDS implant insertion and refill procedures were generally well tolerated. After surgical procedure optimization, postoperative vitreous hemorrhage rate was 4.5% (7/157; 1 event classified as serious). There was no evidence of implant clogging. Conclusions: In the phase 2 Ladder trial, the PDS was generally well tolerated and demonstrated a dose response across multiple end points in patients with nAMD. The PDS 100-mg/ml arm showed visual and anatomic outcomes comparable with monthly intravitreal ranibizumab 0.5-mg injections but with a reduced total number of ranibizumab treatments. The PDS has the potential to reduce treatment burden in nAMD while maintaining vision.","author":[{"dropping-particle":"","family":"Campochiaro","given":"Peter A.","non-dropping-particle":"","parse-names":false,"suffix":""},{"dropping-particle":"","family":"Marcus","given":"Dennis M.","non-dropping-particle":"","parse-names":false,"suffix":""},{"dropping-particle":"","family":"Awh","given":"Carl C.","non-dropping-particle":"","parse-names":false,"suffix":""},{"dropping-particle":"","family":"Regillo","given":"Carl","non-dropping-particle":"","parse-names":false,"suffix":""},{"dropping-particle":"","family":"Adamis","given":"Anthony P.","non-dropping-particle":"","parse-names":false,"suffix":""},{"dropping-particle":"","family":"Bantseev","given":"Vladimir","non-dropping-particle":"","parse-names":false,"suffix":""},{"dropping-particle":"","family":"Chiang","given":"Yawen","non-dropping-particle":"","parse-names":false,"suffix":""},{"dropping-particle":"","family":"Ehrlich","given":"Jason S.","non-dropping-particle":"","parse-names":false,"suffix":""},{"dropping-particle":"","family":"Erickson","given":"Signe","non-dropping-particle":"","parse-names":false,"suffix":""},{"dropping-particle":"","family":"Hanley","given":"William D.","non-dropping-particle":"","parse-names":false,"suffix":""},{"dropping-particle":"","family":"Horvath","given":"Joshua","non-dropping-particle":"","parse-names":false,"suffix":""},{"dropping-particle":"","family":"Maass","given":"Katie F.","non-dropping-particle":"","parse-names":false,"suffix":""},{"dropping-particle":"","family":"Singh","given":"Natasha","non-dropping-particle":"","parse-names":false,"suffix":""},{"dropping-particle":"","family":"Tang","given":"Fan","non-dropping-particle":"","parse-names":false,"suffix":""},{"dropping-particle":"","family":"Barteselli","given":"Giulio","non-dropping-particle":"","parse-names":false,"suffix":""}],"container-title":"Ophthalmology","id":"ITEM-1","issue":"8","issued":{"date-parts":[["2019","8","1"]]},"page":"1141-1154","publisher":"Elsevier Inc.","title":"The Port Delivery System with Ranibizumab for Neovascular Age-Related Macular Degeneration: Results from the Randomized Phase 2 Ladder Clinical Trial","type":"article-journal","volume":"126"},"uris":["http://www.mendeley.com/documents/?uuid=5d76efe3-9163-32fc-8ff4-270e127d816c"]}],"mendeley":{"formattedCitation":"[14]","plainTextFormattedCitation":"[14]","previouslyFormattedCitation":"[14]"},"properties":{"noteIndex":0},"schema":"https://github.com/citation-style-language/schema/raw/master/csl-citation.json"}</w:instrText>
            </w:r>
            <w:r w:rsidR="000C4506">
              <w:rPr>
                <w:rFonts w:ascii="Avenir Book" w:eastAsia="Times New Roman" w:hAnsi="Avenir Book" w:cs="Times New Roman"/>
                <w:color w:val="303030"/>
                <w:sz w:val="18"/>
                <w:szCs w:val="18"/>
                <w:lang w:val="cs-CZ"/>
              </w:rPr>
              <w:fldChar w:fldCharType="separate"/>
            </w:r>
            <w:r w:rsidR="000C4506" w:rsidRPr="000C4506">
              <w:rPr>
                <w:rFonts w:ascii="Avenir Book" w:eastAsia="Times New Roman" w:hAnsi="Avenir Book" w:cs="Times New Roman"/>
                <w:noProof/>
                <w:color w:val="303030"/>
                <w:sz w:val="18"/>
                <w:szCs w:val="18"/>
                <w:lang w:val="cs-CZ"/>
              </w:rPr>
              <w:t>[14]</w:t>
            </w:r>
            <w:r w:rsidR="000C4506">
              <w:rPr>
                <w:rFonts w:ascii="Avenir Book" w:eastAsia="Times New Roman" w:hAnsi="Avenir Book" w:cs="Times New Roman"/>
                <w:color w:val="303030"/>
                <w:sz w:val="18"/>
                <w:szCs w:val="18"/>
                <w:lang w:val="cs-CZ"/>
              </w:rPr>
              <w:fldChar w:fldCharType="end"/>
            </w:r>
          </w:p>
        </w:tc>
        <w:tc>
          <w:tcPr>
            <w:tcW w:w="0" w:type="auto"/>
            <w:tcBorders>
              <w:bottom w:val="single" w:sz="6" w:space="0" w:color="DDE1EB"/>
            </w:tcBorders>
            <w:shd w:val="clear" w:color="auto" w:fill="FFFFFF"/>
            <w:hideMark/>
          </w:tcPr>
          <w:p w14:paraId="7AD1485F" w14:textId="77777777" w:rsidR="004F136F" w:rsidRPr="004F136F" w:rsidRDefault="004F136F" w:rsidP="004F136F">
            <w:pPr>
              <w:rPr>
                <w:rFonts w:ascii="Avenir Book" w:eastAsia="Times New Roman" w:hAnsi="Avenir Book" w:cs="Times New Roman"/>
                <w:color w:val="303030"/>
                <w:sz w:val="18"/>
                <w:szCs w:val="18"/>
                <w:lang w:val="cs-CZ"/>
              </w:rPr>
            </w:pPr>
            <w:r w:rsidRPr="004F136F">
              <w:rPr>
                <w:rFonts w:ascii="Avenir Book" w:eastAsia="Times New Roman" w:hAnsi="Avenir Book" w:cs="Times New Roman"/>
                <w:color w:val="303030"/>
                <w:sz w:val="18"/>
                <w:szCs w:val="18"/>
                <w:lang w:val="cs-CZ"/>
              </w:rPr>
              <w:t>Peter A. Campochiaro et al.</w:t>
            </w:r>
          </w:p>
        </w:tc>
        <w:tc>
          <w:tcPr>
            <w:tcW w:w="0" w:type="auto"/>
            <w:tcBorders>
              <w:bottom w:val="single" w:sz="6" w:space="0" w:color="DDE1EB"/>
            </w:tcBorders>
            <w:shd w:val="clear" w:color="auto" w:fill="FFFFFF"/>
            <w:hideMark/>
          </w:tcPr>
          <w:p w14:paraId="49D25547" w14:textId="77777777" w:rsidR="004F136F" w:rsidRPr="004F136F" w:rsidRDefault="004F136F" w:rsidP="004F136F">
            <w:pPr>
              <w:rPr>
                <w:rFonts w:ascii="Avenir Book" w:eastAsia="Times New Roman" w:hAnsi="Avenir Book" w:cs="Times New Roman"/>
                <w:color w:val="303030"/>
                <w:sz w:val="18"/>
                <w:szCs w:val="18"/>
                <w:lang w:val="cs-CZ"/>
              </w:rPr>
            </w:pPr>
            <w:r w:rsidRPr="004F136F">
              <w:rPr>
                <w:rFonts w:ascii="Avenir Book" w:eastAsia="Times New Roman" w:hAnsi="Avenir Book" w:cs="Times New Roman"/>
                <w:color w:val="303030"/>
                <w:sz w:val="18"/>
                <w:szCs w:val="18"/>
                <w:lang w:val="cs-CZ"/>
              </w:rPr>
              <w:t>2019</w:t>
            </w:r>
          </w:p>
        </w:tc>
        <w:tc>
          <w:tcPr>
            <w:tcW w:w="1754" w:type="dxa"/>
            <w:tcBorders>
              <w:bottom w:val="single" w:sz="6" w:space="0" w:color="DDE1EB"/>
            </w:tcBorders>
            <w:shd w:val="clear" w:color="auto" w:fill="FFFFFF"/>
            <w:hideMark/>
          </w:tcPr>
          <w:p w14:paraId="251E6CDF" w14:textId="77777777" w:rsidR="004F136F" w:rsidRPr="004F136F" w:rsidRDefault="004F136F" w:rsidP="004F136F">
            <w:pPr>
              <w:rPr>
                <w:rFonts w:ascii="Avenir Book" w:eastAsia="Times New Roman" w:hAnsi="Avenir Book" w:cs="Times New Roman"/>
                <w:color w:val="303030"/>
                <w:sz w:val="18"/>
                <w:szCs w:val="18"/>
                <w:lang w:val="cs-CZ"/>
              </w:rPr>
            </w:pPr>
            <w:r w:rsidRPr="004F136F">
              <w:rPr>
                <w:rFonts w:ascii="Avenir Book" w:eastAsia="Times New Roman" w:hAnsi="Avenir Book" w:cs="Times New Roman"/>
                <w:color w:val="303030"/>
                <w:sz w:val="18"/>
                <w:szCs w:val="18"/>
                <w:lang w:val="cs-CZ"/>
              </w:rPr>
              <w:t>Fáze 2, multicentrická, randomizovaná studie</w:t>
            </w:r>
          </w:p>
        </w:tc>
        <w:tc>
          <w:tcPr>
            <w:tcW w:w="475" w:type="dxa"/>
            <w:tcBorders>
              <w:bottom w:val="single" w:sz="6" w:space="0" w:color="DDE1EB"/>
            </w:tcBorders>
            <w:shd w:val="clear" w:color="auto" w:fill="FFFFFF"/>
            <w:hideMark/>
          </w:tcPr>
          <w:p w14:paraId="1B4365F4" w14:textId="77777777" w:rsidR="004F136F" w:rsidRPr="004F136F" w:rsidRDefault="004F136F" w:rsidP="004F136F">
            <w:pPr>
              <w:rPr>
                <w:rFonts w:ascii="Avenir Book" w:eastAsia="Times New Roman" w:hAnsi="Avenir Book" w:cs="Times New Roman"/>
                <w:color w:val="303030"/>
                <w:sz w:val="18"/>
                <w:szCs w:val="18"/>
                <w:lang w:val="cs-CZ"/>
              </w:rPr>
            </w:pPr>
            <w:r w:rsidRPr="004F136F">
              <w:rPr>
                <w:rFonts w:ascii="Avenir Book" w:eastAsia="Times New Roman" w:hAnsi="Avenir Book" w:cs="Times New Roman"/>
                <w:color w:val="303030"/>
                <w:sz w:val="18"/>
                <w:szCs w:val="18"/>
                <w:lang w:val="cs-CZ"/>
              </w:rPr>
              <w:t>220</w:t>
            </w:r>
          </w:p>
        </w:tc>
        <w:tc>
          <w:tcPr>
            <w:tcW w:w="2693" w:type="dxa"/>
            <w:tcBorders>
              <w:bottom w:val="single" w:sz="6" w:space="0" w:color="DDE1EB"/>
            </w:tcBorders>
            <w:shd w:val="clear" w:color="auto" w:fill="FFFFFF"/>
            <w:hideMark/>
          </w:tcPr>
          <w:p w14:paraId="03AB0B4D" w14:textId="2B37B260" w:rsidR="004F136F" w:rsidRPr="000C4506" w:rsidRDefault="004F136F" w:rsidP="004F136F">
            <w:pPr>
              <w:rPr>
                <w:rFonts w:ascii="Avenir Book" w:eastAsia="Times New Roman" w:hAnsi="Avenir Book" w:cs="Times New Roman"/>
                <w:color w:val="303030"/>
                <w:sz w:val="18"/>
                <w:szCs w:val="18"/>
                <w:lang w:val="cs-CZ"/>
              </w:rPr>
            </w:pPr>
            <w:r w:rsidRPr="000C4506">
              <w:rPr>
                <w:rFonts w:ascii="Avenir Book" w:eastAsia="Times New Roman" w:hAnsi="Avenir Book" w:cs="Times New Roman"/>
                <w:color w:val="303030"/>
                <w:sz w:val="18"/>
                <w:szCs w:val="18"/>
                <w:lang w:val="cs-CZ"/>
              </w:rPr>
              <w:t>Port Delivery System (</w:t>
            </w:r>
            <w:r w:rsidR="00490948">
              <w:rPr>
                <w:rFonts w:ascii="Avenir Book" w:eastAsia="Times New Roman" w:hAnsi="Avenir Book" w:cs="Times New Roman"/>
                <w:color w:val="303030"/>
                <w:sz w:val="18"/>
                <w:szCs w:val="18"/>
                <w:lang w:val="cs-CZ"/>
              </w:rPr>
              <w:t>PDP</w:t>
            </w:r>
            <w:r w:rsidRPr="000C4506">
              <w:rPr>
                <w:rFonts w:ascii="Avenir Book" w:eastAsia="Times New Roman" w:hAnsi="Avenir Book" w:cs="Times New Roman"/>
                <w:color w:val="303030"/>
                <w:sz w:val="18"/>
                <w:szCs w:val="18"/>
                <w:lang w:val="cs-CZ"/>
              </w:rPr>
              <w:t>) v dávce 100 mg/ml prokázal srovnatelné zrakové i anatomické výsledky s měsíčními injekcemi ranibizumabu, čímž značně snížil zátěž pro pacienty.</w:t>
            </w:r>
          </w:p>
        </w:tc>
      </w:tr>
      <w:tr w:rsidR="004F136F" w:rsidRPr="004F136F" w14:paraId="7D10410B" w14:textId="77777777" w:rsidTr="004F136F">
        <w:tc>
          <w:tcPr>
            <w:tcW w:w="0" w:type="auto"/>
            <w:tcBorders>
              <w:bottom w:val="single" w:sz="6" w:space="0" w:color="DDE1EB"/>
            </w:tcBorders>
            <w:shd w:val="clear" w:color="auto" w:fill="FFFFFF"/>
            <w:hideMark/>
          </w:tcPr>
          <w:p w14:paraId="37FA3135" w14:textId="0C520369" w:rsidR="004F136F" w:rsidRPr="004F136F" w:rsidRDefault="004F136F" w:rsidP="004F136F">
            <w:pPr>
              <w:rPr>
                <w:rFonts w:ascii="Avenir Book" w:eastAsia="Times New Roman" w:hAnsi="Avenir Book" w:cs="Times New Roman"/>
                <w:color w:val="303030"/>
                <w:sz w:val="18"/>
                <w:szCs w:val="18"/>
                <w:lang w:val="cs-CZ"/>
              </w:rPr>
            </w:pPr>
            <w:r w:rsidRPr="004F136F">
              <w:rPr>
                <w:rFonts w:ascii="Avenir Book" w:eastAsia="Times New Roman" w:hAnsi="Avenir Book" w:cs="Times New Roman"/>
                <w:color w:val="303030"/>
                <w:sz w:val="18"/>
                <w:szCs w:val="18"/>
                <w:lang w:val="cs-CZ"/>
              </w:rPr>
              <w:t>Archway Randomized Phase 3 Trial of the Port Delivery System with Ranibizumab for Neovascular Age-Related Macular Degeneration (studie ARCHWAY)</w:t>
            </w:r>
            <w:r w:rsidR="000C4506">
              <w:rPr>
                <w:rFonts w:ascii="Avenir Book" w:eastAsia="Times New Roman" w:hAnsi="Avenir Book" w:cs="Times New Roman"/>
                <w:color w:val="303030"/>
                <w:sz w:val="18"/>
                <w:szCs w:val="18"/>
                <w:lang w:val="cs-CZ"/>
              </w:rPr>
              <w:t xml:space="preserve"> </w:t>
            </w:r>
            <w:r w:rsidR="000C4506">
              <w:rPr>
                <w:rFonts w:ascii="Avenir Book" w:eastAsia="Times New Roman" w:hAnsi="Avenir Book" w:cs="Times New Roman"/>
                <w:color w:val="303030"/>
                <w:sz w:val="18"/>
                <w:szCs w:val="18"/>
                <w:lang w:val="cs-CZ"/>
              </w:rPr>
              <w:fldChar w:fldCharType="begin" w:fldLock="1"/>
            </w:r>
            <w:r w:rsidR="000C4506">
              <w:rPr>
                <w:rFonts w:ascii="Avenir Book" w:eastAsia="Times New Roman" w:hAnsi="Avenir Book" w:cs="Times New Roman"/>
                <w:color w:val="303030"/>
                <w:sz w:val="18"/>
                <w:szCs w:val="18"/>
                <w:lang w:val="cs-CZ"/>
              </w:rPr>
              <w:instrText>ADDIN CSL_CITATION {"citationItems":[{"id":"ITEM-1","itemData":{"DOI":"10.1016/j.ophtha.2021.09.016","ISSN":"15494713","PMID":"34597713","abstract":"Purpose: To evaluate the safety and efficacy of the Port Delivery System with ranibizumab (PDS) for the treatment of neovascular age-related macular degeneration (nAMD). Design: Phase 3, open-label, randomized, visual acuity assessor–masked noninferiority and equivalence trial. Participants: Patients with nAMD diagnosed within 9 months of screening previously treated with and responsive to anti–vascular endothelial growth factor therapy. Methods: Patients were randomized 3:2 to treatment with the PDS with ranibizumab 100 mg/ml with fixed 24-week (Q24W) refill-exchanges (PDS Q24W) or intravitreal ranibizumab 0.5-mg injections every 4 weeks (monthly ranibizumab). Main Outcome Measures: Primary end point was change in best-corrected visual acuity (BCVA) Early Treatment Diabetic Retinopathy Study letter (letters) score from baseline averaged over weeks 36 and 40 (noninferiority margin,–4.5 letters; equivalence margin, ±4.5 letters). Results: Archway enrolled 418 patients; 251 were randomized to and 248 received treatment with the PDS Q24W, and 167 were randomized to and received treatment with monthly ranibizumab. Baseline BCVA was 74.4 letters (PDS Q24W arm) and 75.5 letters (monthly ranibizumab arm; Snellen equivalent, 20/32). Adjusted mean change in BCVA score from baseline averaged over weeks 36 and 40 was +0.2 letters (standard error [SE], 0.5 letters) in the PDS Q24W arm and +0.5 letters (SE, 0.6 letters) in the monthly ranibizumab arm (difference, –0.3 letters; 95% confidence interval, –1.7 to 1.1 letters). PDS Q24W was both noninferior and equivalent to monthly ranibizumab. Of 246 PDS-treated patients assessed for supplemental ranibizumab treatment, 242 (98.4%) did not receive supplemental ranibizumab treatment before the first refill-exchange procedure, including 4 patients who discontinued treatment before the first refill-exchange procedure. Prespecified ocular adverse events of special interest were reported in 47 patients (19.0%) in the PDS Q24W arm and 10 patients (6.0%) in the monthly ranibizumab arm, which included, in the former arm, 4 (1.6%) endophthalmitis cases, 2 (0.8%) retinal detachments, 13 (5.2%) vitreous hemorrhages, 6 (2.4%) conjunctival erosions, and 5 (2.0%) conjunctival retractions. Most ocular adverse events in the PDS Q24W arm occurred within 1 month of implantation. Conclusions: Archway met its primary objective and PDS Q24W demonstrated noninferior and equivalent efficacy to monthly ranibizumab, with 98.4% of PDS-treated pa…","author":[{"dropping-particle":"","family":"Holekamp","given":"Nancy M.","non-dropping-particle":"","parse-names":false,"suffix":""},{"dropping-particle":"","family":"Campochiaro","given":"Peter A.","non-dropping-particle":"","parse-names":false,"suffix":""},{"dropping-particle":"","family":"Chang","given":"Margaret A.","non-dropping-particle":"","parse-names":false,"suffix":""},{"dropping-particle":"","family":"Miller","given":"Daniel","non-dropping-particle":"","parse-names":false,"suffix":""},{"dropping-particle":"","family":"Pieramici","given":"Dante","non-dropping-particle":"","parse-names":false,"suffix":""},{"dropping-particle":"","family":"Adamis","given":"Anthony P.","non-dropping-particle":"","parse-names":false,"suffix":""},{"dropping-particle":"","family":"Brittain","given":"Christopher","non-dropping-particle":"","parse-names":false,"suffix":""},{"dropping-particle":"","family":"Evans","given":"Erica","non-dropping-particle":"","parse-names":false,"suffix":""},{"dropping-particle":"","family":"Kaufman","given":"Derrick","non-dropping-particle":"","parse-names":false,"suffix":""},{"dropping-particle":"","family":"Maass","given":"Katie F.","non-dropping-particle":"","parse-names":false,"suffix":""},{"dropping-particle":"","family":"Patel","given":"Shienal","non-dropping-particle":"","parse-names":false,"suffix":""},{"dropping-particle":"","family":"Ranade","given":"Shrirang","non-dropping-particle":"","parse-names":false,"suffix":""},{"dropping-particle":"","family":"Singh","given":"Natasha","non-dropping-particle":"","parse-names":false,"suffix":""},{"dropping-particle":"","family":"Barteselli","given":"Giulio","non-dropping-particle":"","parse-names":false,"suffix":""},{"dropping-particle":"","family":"Regillo","given":"Carl","non-dropping-particle":"","parse-names":false,"suffix":""}],"container-title":"Ophthalmology","id":"ITEM-1","issue":"3","issued":{"date-parts":[["2022","3","1"]]},"page":"295-307","publisher":"Elsevier Inc.","title":"Archway Randomized Phase 3 Trial of the Port Delivery System with Ranibizumab for Neovascular Age-Related Macular Degeneration","type":"article-journal","volume":"129"},"uris":["http://www.mendeley.com/documents/?uuid=88195152-f59b-34bb-8908-56b79e17f120"]}],"mendeley":{"formattedCitation":"[7]","plainTextFormattedCitation":"[7]","previouslyFormattedCitation":"[7]"},"properties":{"noteIndex":0},"schema":"https://github.com/citation-style-language/schema/raw/master/csl-citation.json"}</w:instrText>
            </w:r>
            <w:r w:rsidR="000C4506">
              <w:rPr>
                <w:rFonts w:ascii="Avenir Book" w:eastAsia="Times New Roman" w:hAnsi="Avenir Book" w:cs="Times New Roman"/>
                <w:color w:val="303030"/>
                <w:sz w:val="18"/>
                <w:szCs w:val="18"/>
                <w:lang w:val="cs-CZ"/>
              </w:rPr>
              <w:fldChar w:fldCharType="separate"/>
            </w:r>
            <w:r w:rsidR="000C4506" w:rsidRPr="000C4506">
              <w:rPr>
                <w:rFonts w:ascii="Avenir Book" w:eastAsia="Times New Roman" w:hAnsi="Avenir Book" w:cs="Times New Roman"/>
                <w:noProof/>
                <w:color w:val="303030"/>
                <w:sz w:val="18"/>
                <w:szCs w:val="18"/>
                <w:lang w:val="cs-CZ"/>
              </w:rPr>
              <w:t>[7]</w:t>
            </w:r>
            <w:r w:rsidR="000C4506">
              <w:rPr>
                <w:rFonts w:ascii="Avenir Book" w:eastAsia="Times New Roman" w:hAnsi="Avenir Book" w:cs="Times New Roman"/>
                <w:color w:val="303030"/>
                <w:sz w:val="18"/>
                <w:szCs w:val="18"/>
                <w:lang w:val="cs-CZ"/>
              </w:rPr>
              <w:fldChar w:fldCharType="end"/>
            </w:r>
          </w:p>
        </w:tc>
        <w:tc>
          <w:tcPr>
            <w:tcW w:w="0" w:type="auto"/>
            <w:tcBorders>
              <w:bottom w:val="single" w:sz="6" w:space="0" w:color="DDE1EB"/>
            </w:tcBorders>
            <w:shd w:val="clear" w:color="auto" w:fill="FFFFFF"/>
            <w:hideMark/>
          </w:tcPr>
          <w:p w14:paraId="143E836A" w14:textId="77777777" w:rsidR="004F136F" w:rsidRPr="004F136F" w:rsidRDefault="004F136F" w:rsidP="004F136F">
            <w:pPr>
              <w:rPr>
                <w:rFonts w:ascii="Avenir Book" w:eastAsia="Times New Roman" w:hAnsi="Avenir Book" w:cs="Times New Roman"/>
                <w:color w:val="303030"/>
                <w:sz w:val="18"/>
                <w:szCs w:val="18"/>
                <w:lang w:val="cs-CZ"/>
              </w:rPr>
            </w:pPr>
            <w:r w:rsidRPr="004F136F">
              <w:rPr>
                <w:rFonts w:ascii="Avenir Book" w:eastAsia="Times New Roman" w:hAnsi="Avenir Book" w:cs="Times New Roman"/>
                <w:color w:val="303030"/>
                <w:sz w:val="18"/>
                <w:szCs w:val="18"/>
                <w:lang w:val="cs-CZ"/>
              </w:rPr>
              <w:t>Nancy M. Holekamp et al.</w:t>
            </w:r>
          </w:p>
        </w:tc>
        <w:tc>
          <w:tcPr>
            <w:tcW w:w="0" w:type="auto"/>
            <w:tcBorders>
              <w:bottom w:val="single" w:sz="6" w:space="0" w:color="DDE1EB"/>
            </w:tcBorders>
            <w:shd w:val="clear" w:color="auto" w:fill="FFFFFF"/>
            <w:hideMark/>
          </w:tcPr>
          <w:p w14:paraId="3D444616" w14:textId="77777777" w:rsidR="004F136F" w:rsidRPr="004F136F" w:rsidRDefault="004F136F" w:rsidP="004F136F">
            <w:pPr>
              <w:rPr>
                <w:rFonts w:ascii="Avenir Book" w:eastAsia="Times New Roman" w:hAnsi="Avenir Book" w:cs="Times New Roman"/>
                <w:color w:val="303030"/>
                <w:sz w:val="18"/>
                <w:szCs w:val="18"/>
                <w:lang w:val="cs-CZ"/>
              </w:rPr>
            </w:pPr>
            <w:r w:rsidRPr="004F136F">
              <w:rPr>
                <w:rFonts w:ascii="Avenir Book" w:eastAsia="Times New Roman" w:hAnsi="Avenir Book" w:cs="Times New Roman"/>
                <w:color w:val="303030"/>
                <w:sz w:val="18"/>
                <w:szCs w:val="18"/>
                <w:lang w:val="cs-CZ"/>
              </w:rPr>
              <w:t>2021</w:t>
            </w:r>
          </w:p>
        </w:tc>
        <w:tc>
          <w:tcPr>
            <w:tcW w:w="1754" w:type="dxa"/>
            <w:tcBorders>
              <w:bottom w:val="single" w:sz="6" w:space="0" w:color="DDE1EB"/>
            </w:tcBorders>
            <w:shd w:val="clear" w:color="auto" w:fill="FFFFFF"/>
            <w:hideMark/>
          </w:tcPr>
          <w:p w14:paraId="7F4185E4" w14:textId="77777777" w:rsidR="004F136F" w:rsidRPr="004F136F" w:rsidRDefault="004F136F" w:rsidP="004F136F">
            <w:pPr>
              <w:rPr>
                <w:rFonts w:ascii="Avenir Book" w:eastAsia="Times New Roman" w:hAnsi="Avenir Book" w:cs="Times New Roman"/>
                <w:color w:val="303030"/>
                <w:sz w:val="18"/>
                <w:szCs w:val="18"/>
                <w:lang w:val="cs-CZ"/>
              </w:rPr>
            </w:pPr>
            <w:r w:rsidRPr="004F136F">
              <w:rPr>
                <w:rFonts w:ascii="Avenir Book" w:eastAsia="Times New Roman" w:hAnsi="Avenir Book" w:cs="Times New Roman"/>
                <w:color w:val="303030"/>
                <w:sz w:val="18"/>
                <w:szCs w:val="18"/>
                <w:lang w:val="cs-CZ"/>
              </w:rPr>
              <w:t>Fáze 3, multicentrická, otevřená randomizovaná studie</w:t>
            </w:r>
          </w:p>
        </w:tc>
        <w:tc>
          <w:tcPr>
            <w:tcW w:w="475" w:type="dxa"/>
            <w:tcBorders>
              <w:bottom w:val="single" w:sz="6" w:space="0" w:color="DDE1EB"/>
            </w:tcBorders>
            <w:shd w:val="clear" w:color="auto" w:fill="FFFFFF"/>
            <w:hideMark/>
          </w:tcPr>
          <w:p w14:paraId="0FBA7C1C" w14:textId="77777777" w:rsidR="004F136F" w:rsidRPr="004F136F" w:rsidRDefault="004F136F" w:rsidP="004F136F">
            <w:pPr>
              <w:rPr>
                <w:rFonts w:ascii="Avenir Book" w:eastAsia="Times New Roman" w:hAnsi="Avenir Book" w:cs="Times New Roman"/>
                <w:color w:val="303030"/>
                <w:sz w:val="18"/>
                <w:szCs w:val="18"/>
                <w:lang w:val="cs-CZ"/>
              </w:rPr>
            </w:pPr>
            <w:r w:rsidRPr="004F136F">
              <w:rPr>
                <w:rFonts w:ascii="Avenir Book" w:eastAsia="Times New Roman" w:hAnsi="Avenir Book" w:cs="Times New Roman"/>
                <w:color w:val="303030"/>
                <w:sz w:val="18"/>
                <w:szCs w:val="18"/>
                <w:lang w:val="cs-CZ"/>
              </w:rPr>
              <w:t>415</w:t>
            </w:r>
          </w:p>
        </w:tc>
        <w:tc>
          <w:tcPr>
            <w:tcW w:w="2693" w:type="dxa"/>
            <w:tcBorders>
              <w:bottom w:val="single" w:sz="6" w:space="0" w:color="DDE1EB"/>
            </w:tcBorders>
            <w:shd w:val="clear" w:color="auto" w:fill="FFFFFF"/>
            <w:hideMark/>
          </w:tcPr>
          <w:p w14:paraId="0037F074" w14:textId="5750EC39" w:rsidR="004F136F" w:rsidRPr="000C4506" w:rsidRDefault="004F136F" w:rsidP="004F136F">
            <w:pPr>
              <w:rPr>
                <w:rFonts w:ascii="Avenir Book" w:eastAsia="Times New Roman" w:hAnsi="Avenir Book" w:cs="Times New Roman"/>
                <w:color w:val="303030"/>
                <w:sz w:val="18"/>
                <w:szCs w:val="18"/>
                <w:lang w:val="cs-CZ"/>
              </w:rPr>
            </w:pPr>
            <w:r w:rsidRPr="000C4506">
              <w:rPr>
                <w:rFonts w:ascii="Avenir Book" w:eastAsia="Times New Roman" w:hAnsi="Avenir Book" w:cs="Times New Roman"/>
                <w:color w:val="303030"/>
                <w:sz w:val="18"/>
                <w:szCs w:val="18"/>
                <w:lang w:val="cs-CZ"/>
              </w:rPr>
              <w:t xml:space="preserve">Systém </w:t>
            </w:r>
            <w:r w:rsidR="00490948">
              <w:rPr>
                <w:rFonts w:ascii="Avenir Book" w:eastAsia="Times New Roman" w:hAnsi="Avenir Book" w:cs="Times New Roman"/>
                <w:color w:val="303030"/>
                <w:sz w:val="18"/>
                <w:szCs w:val="18"/>
                <w:lang w:val="cs-CZ"/>
              </w:rPr>
              <w:t>PDP</w:t>
            </w:r>
            <w:r w:rsidRPr="000C4506">
              <w:rPr>
                <w:rFonts w:ascii="Avenir Book" w:eastAsia="Times New Roman" w:hAnsi="Avenir Book" w:cs="Times New Roman"/>
                <w:color w:val="303030"/>
                <w:sz w:val="18"/>
                <w:szCs w:val="18"/>
                <w:lang w:val="cs-CZ"/>
              </w:rPr>
              <w:t xml:space="preserve"> doplňovaný každých 24 týdnů je noninferiorní a ekvivalentní vůči měsíčním injekcím. Kolem 98,4 % pacientů nepotřebovalo během 1. intervalu žádnou doplňkovou léčbu.</w:t>
            </w:r>
          </w:p>
        </w:tc>
      </w:tr>
      <w:tr w:rsidR="004F136F" w:rsidRPr="004F136F" w14:paraId="5AC003A2" w14:textId="77777777" w:rsidTr="004F136F">
        <w:tc>
          <w:tcPr>
            <w:tcW w:w="0" w:type="auto"/>
            <w:tcBorders>
              <w:bottom w:val="single" w:sz="6" w:space="0" w:color="DDE1EB"/>
            </w:tcBorders>
            <w:shd w:val="clear" w:color="auto" w:fill="FFFFFF"/>
            <w:hideMark/>
          </w:tcPr>
          <w:p w14:paraId="4B1BAEE9" w14:textId="2DCF9414" w:rsidR="004F136F" w:rsidRPr="004F136F" w:rsidRDefault="004F136F" w:rsidP="004F136F">
            <w:pPr>
              <w:rPr>
                <w:rFonts w:ascii="Avenir Book" w:eastAsia="Times New Roman" w:hAnsi="Avenir Book" w:cs="Times New Roman"/>
                <w:color w:val="303030"/>
                <w:sz w:val="18"/>
                <w:szCs w:val="18"/>
                <w:lang w:val="cs-CZ"/>
              </w:rPr>
            </w:pPr>
            <w:r w:rsidRPr="004F136F">
              <w:rPr>
                <w:rFonts w:ascii="Avenir Book" w:eastAsia="Times New Roman" w:hAnsi="Avenir Book" w:cs="Times New Roman"/>
                <w:color w:val="303030"/>
                <w:sz w:val="18"/>
                <w:szCs w:val="18"/>
                <w:lang w:val="cs-CZ"/>
              </w:rPr>
              <w:t>Archway Phase 3 Trial of the Port Delivery System with Ranibizumab for Neovascular Age-Related Macular Degeneration 2-Year Results (studie ARCHWAY)</w:t>
            </w:r>
            <w:r w:rsidR="000C4506">
              <w:rPr>
                <w:rFonts w:ascii="Avenir Book" w:eastAsia="Times New Roman" w:hAnsi="Avenir Book" w:cs="Times New Roman"/>
                <w:color w:val="303030"/>
                <w:sz w:val="18"/>
                <w:szCs w:val="18"/>
                <w:lang w:val="cs-CZ"/>
              </w:rPr>
              <w:t xml:space="preserve"> </w:t>
            </w:r>
            <w:r w:rsidR="000C4506">
              <w:rPr>
                <w:rFonts w:ascii="Avenir Book" w:eastAsia="Times New Roman" w:hAnsi="Avenir Book" w:cs="Times New Roman"/>
                <w:color w:val="303030"/>
                <w:sz w:val="18"/>
                <w:szCs w:val="18"/>
                <w:lang w:val="cs-CZ"/>
              </w:rPr>
              <w:fldChar w:fldCharType="begin" w:fldLock="1"/>
            </w:r>
            <w:r w:rsidR="00B64B5D">
              <w:rPr>
                <w:rFonts w:ascii="Avenir Book" w:eastAsia="Times New Roman" w:hAnsi="Avenir Book" w:cs="Times New Roman"/>
                <w:color w:val="303030"/>
                <w:sz w:val="18"/>
                <w:szCs w:val="18"/>
                <w:lang w:val="cs-CZ"/>
              </w:rPr>
              <w:instrText>ADDIN CSL_CITATION {"citationItems":[{"id":"ITEM-1","itemData":{"DOI":"10.1016/j.ophtha.2023.02.024","ISSN":"15494713","PMID":"36870451","abstract":"Purpose: To report 2-year results from the Archway clinical trial of the Port Delivery System with ranibizumab (PDS) for treatment of neovascular age-related macular degeneration (nAMD). Design: Phase 3, randomized, multicenter, open-label, active-comparator–controlled trial. Participants: Patients with previously treated nAMD diagnosed within 9 months of screening and responsive to anti–vascular endothelial growth factor therapy. Methods: Patients were randomized 3:2 to PDS with ranibizumab 100 mg/ml with fixed refill-exchanges every 24 weeks (PDS Q24W) or intravitreal ranibizumab 0.5 mg injections every 4 weeks (monthly ranibizumab). Patients were followed through 4 complete refill-exchange intervals (</w:instrText>
            </w:r>
            <w:r w:rsidR="00B64B5D">
              <w:rPr>
                <w:rFonts w:ascii="Cambria Math" w:eastAsia="Times New Roman" w:hAnsi="Cambria Math" w:cs="Cambria Math"/>
                <w:color w:val="303030"/>
                <w:sz w:val="18"/>
                <w:szCs w:val="18"/>
                <w:lang w:val="cs-CZ"/>
              </w:rPr>
              <w:instrText>∼</w:instrText>
            </w:r>
            <w:r w:rsidR="00B64B5D">
              <w:rPr>
                <w:rFonts w:ascii="Avenir Book" w:eastAsia="Times New Roman" w:hAnsi="Avenir Book" w:cs="Times New Roman"/>
                <w:color w:val="303030"/>
                <w:sz w:val="18"/>
                <w:szCs w:val="18"/>
                <w:lang w:val="cs-CZ"/>
              </w:rPr>
              <w:instrText>2 years). Main Outcome Measures: Change in best-corrected visual acuity (BCVA) Early Treatment Diabetic Retinopathy Study (ETDRS) letter score from baseline averaged over weeks 44 and 48, weeks 60 and 64, and weeks 88 and 92 (noninferiority margin, –3.9 ETDRS letters). Results: The PDS Q24W was noninferior to monthly ranibizumab, with differences in adjusted mean change in BCVA score from baseline averaged over weeks 44/48, 60/64 and 88/92 of –0.2 (95% confidence interval [CI], –1.8 to +1.3), +0.4 (95% CI, –1.4 to +2.1) and –0.6 ETDRS letters (95% CI, –2.5 to +1.3), respectively. Anatomic outcomes were generally comparable between arms through week 96. Through each of 4 PDS refill-exchange intervals, 98.4%, 94.6%, 94.8%, and 94.7% of PDS Q24W patients assessed did not receive supplemental ranibizumab treatment. The PDS ocular safety profile was generally unchanged from primary analysis. Prespecified ocular adverse events of special interest (AESI) were reported in 59 (23.8%) PDS and 17 (10.2%) monthly ranibizumab patients. The most common AESI reported in both arms was cataract (PDS Q24W, 22 [8.9%]; monthly ranibizumab, 10 [6.0%]). Events in the PDS Q24W arm included (patient incidence) 10 (4.0%) conjunctival erosions, 6 (2.4%) conjunctival retractions, 4 (1.6%) endophthalmitis cases, and 4 (1.6%) implant dislocations. Serum ranibizumab sampling showed that the PDS continuously released ranibizumab over the 24-week refill-exchange interval and ranibizumab serum concentrations were within the range experienced with monthly ranibizumab. Conclusions: The PDS Q24W showed noninferior efficacy to monthly ranibizumab through approximately 2 years, with approximately 95% of PDS Q24W patients not receiving supplemental ranibizumab treatment in each refill-exchan…","author":[{"dropping-particle":"","family":"Regillo","given":"Carl","non-dropping-particle":"","parse-names":false,"suffix":""},{"dropping-particle":"","family":"Berger","given":"Brian","non-dropping-particle":"","parse-names":false,"suffix":""},{"dropping-particle":"","family":"Brooks","given":"Logan","non-dropping-particle":"","parse-names":false,"suffix":""},{"dropping-particle":"","family":"Clark","given":"W. Lloyd","non-dropping-particle":"","parse-names":false,"suffix":""},{"dropping-particle":"","family":"Mittra","given":"Robert","non-dropping-particle":"","parse-names":false,"suffix":""},{"dropping-particle":"","family":"Wykoff","given":"Charles C.","non-dropping-particle":"","parse-names":false,"suffix":""},{"dropping-particle":"","family":"Callaway","given":"Natalia F.","non-dropping-particle":"","parse-names":false,"suffix":""},{"dropping-particle":"","family":"DeGraaf","given":"Stephanie","non-dropping-particle":"","parse-names":false,"suffix":""},{"dropping-particle":"","family":"Ding","given":"Han Ting","non-dropping-particle":"","parse-names":false,"suffix":""},{"dropping-particle":"","family":"Fung","given":"Anne E.","non-dropping-particle":"","parse-names":false,"suffix":""},{"dropping-particle":"","family":"Gune","given":"Shamika","non-dropping-particle":"","parse-names":false,"suffix":""},{"dropping-particle":"","family":"Pogam","given":"Sophie","non-dropping-particle":"Le","parse-names":false,"suffix":""},{"dropping-particle":"","family":"Smith","given":"Robert","non-dropping-particle":"","parse-names":false,"suffix":""},{"dropping-particle":"","family":"Willis","given":"Jeffrey R.","non-dropping-particle":"","parse-names":false,"suffix":""},{"dropping-particle":"","family":"Barteselli","given":"Giulio","non-dropping-particle":"","parse-names":false,"suffix":""}],"container-title":"Ophthalmology","id":"ITEM-1","issue":"7","issued":{"date-parts":[["2023","7","1"]]},"page":"735-747","publisher":"Elsevier Inc.","title":"Archway Phase 3 Trial of the Port Delivery System with Ranibizumab for Neovascular Age-Related Macular Degeneration 2-Year Results","type":"article-journal","volume":"130"},"uris":["http://www.mendeley.com/documents/?uuid=4cae25bb-8f56-327f-829c-f5fa1941a72a"]}],"mendeley":{"formattedCitation":"[6]","plainTextFormattedCitation":"[6]","previouslyFormattedCitation":"[6]"},"properties":{"noteIndex":0},"schema":"https://github.com/citation-style-language/schema/raw/master/csl-citation.json"}</w:instrText>
            </w:r>
            <w:r w:rsidR="000C4506">
              <w:rPr>
                <w:rFonts w:ascii="Avenir Book" w:eastAsia="Times New Roman" w:hAnsi="Avenir Book" w:cs="Times New Roman"/>
                <w:color w:val="303030"/>
                <w:sz w:val="18"/>
                <w:szCs w:val="18"/>
                <w:lang w:val="cs-CZ"/>
              </w:rPr>
              <w:fldChar w:fldCharType="separate"/>
            </w:r>
            <w:r w:rsidR="000C4506" w:rsidRPr="000C4506">
              <w:rPr>
                <w:rFonts w:ascii="Avenir Book" w:eastAsia="Times New Roman" w:hAnsi="Avenir Book" w:cs="Times New Roman"/>
                <w:noProof/>
                <w:color w:val="303030"/>
                <w:sz w:val="18"/>
                <w:szCs w:val="18"/>
                <w:lang w:val="cs-CZ"/>
              </w:rPr>
              <w:t>[6]</w:t>
            </w:r>
            <w:r w:rsidR="000C4506">
              <w:rPr>
                <w:rFonts w:ascii="Avenir Book" w:eastAsia="Times New Roman" w:hAnsi="Avenir Book" w:cs="Times New Roman"/>
                <w:color w:val="303030"/>
                <w:sz w:val="18"/>
                <w:szCs w:val="18"/>
                <w:lang w:val="cs-CZ"/>
              </w:rPr>
              <w:fldChar w:fldCharType="end"/>
            </w:r>
          </w:p>
        </w:tc>
        <w:tc>
          <w:tcPr>
            <w:tcW w:w="0" w:type="auto"/>
            <w:tcBorders>
              <w:bottom w:val="single" w:sz="6" w:space="0" w:color="DDE1EB"/>
            </w:tcBorders>
            <w:shd w:val="clear" w:color="auto" w:fill="FFFFFF"/>
            <w:hideMark/>
          </w:tcPr>
          <w:p w14:paraId="0011F2B2" w14:textId="77777777" w:rsidR="004F136F" w:rsidRPr="004F136F" w:rsidRDefault="004F136F" w:rsidP="004F136F">
            <w:pPr>
              <w:rPr>
                <w:rFonts w:ascii="Avenir Book" w:eastAsia="Times New Roman" w:hAnsi="Avenir Book" w:cs="Times New Roman"/>
                <w:color w:val="303030"/>
                <w:sz w:val="18"/>
                <w:szCs w:val="18"/>
                <w:lang w:val="cs-CZ"/>
              </w:rPr>
            </w:pPr>
            <w:r w:rsidRPr="004F136F">
              <w:rPr>
                <w:rFonts w:ascii="Avenir Book" w:eastAsia="Times New Roman" w:hAnsi="Avenir Book" w:cs="Times New Roman"/>
                <w:color w:val="303030"/>
                <w:sz w:val="18"/>
                <w:szCs w:val="18"/>
                <w:lang w:val="cs-CZ"/>
              </w:rPr>
              <w:t>Carl Regillo et al.</w:t>
            </w:r>
          </w:p>
        </w:tc>
        <w:tc>
          <w:tcPr>
            <w:tcW w:w="0" w:type="auto"/>
            <w:tcBorders>
              <w:bottom w:val="single" w:sz="6" w:space="0" w:color="DDE1EB"/>
            </w:tcBorders>
            <w:shd w:val="clear" w:color="auto" w:fill="FFFFFF"/>
            <w:hideMark/>
          </w:tcPr>
          <w:p w14:paraId="4B98462B" w14:textId="77777777" w:rsidR="004F136F" w:rsidRPr="004F136F" w:rsidRDefault="004F136F" w:rsidP="004F136F">
            <w:pPr>
              <w:rPr>
                <w:rFonts w:ascii="Avenir Book" w:eastAsia="Times New Roman" w:hAnsi="Avenir Book" w:cs="Times New Roman"/>
                <w:color w:val="303030"/>
                <w:sz w:val="18"/>
                <w:szCs w:val="18"/>
                <w:lang w:val="cs-CZ"/>
              </w:rPr>
            </w:pPr>
            <w:r w:rsidRPr="004F136F">
              <w:rPr>
                <w:rFonts w:ascii="Avenir Book" w:eastAsia="Times New Roman" w:hAnsi="Avenir Book" w:cs="Times New Roman"/>
                <w:color w:val="303030"/>
                <w:sz w:val="18"/>
                <w:szCs w:val="18"/>
                <w:lang w:val="cs-CZ"/>
              </w:rPr>
              <w:t>2023</w:t>
            </w:r>
          </w:p>
        </w:tc>
        <w:tc>
          <w:tcPr>
            <w:tcW w:w="1754" w:type="dxa"/>
            <w:tcBorders>
              <w:bottom w:val="single" w:sz="6" w:space="0" w:color="DDE1EB"/>
            </w:tcBorders>
            <w:shd w:val="clear" w:color="auto" w:fill="FFFFFF"/>
            <w:hideMark/>
          </w:tcPr>
          <w:p w14:paraId="2BC8BF9B" w14:textId="77777777" w:rsidR="004F136F" w:rsidRPr="004F136F" w:rsidRDefault="004F136F" w:rsidP="004F136F">
            <w:pPr>
              <w:rPr>
                <w:rFonts w:ascii="Avenir Book" w:eastAsia="Times New Roman" w:hAnsi="Avenir Book" w:cs="Times New Roman"/>
                <w:color w:val="303030"/>
                <w:sz w:val="18"/>
                <w:szCs w:val="18"/>
                <w:lang w:val="cs-CZ"/>
              </w:rPr>
            </w:pPr>
            <w:r w:rsidRPr="004F136F">
              <w:rPr>
                <w:rFonts w:ascii="Avenir Book" w:eastAsia="Times New Roman" w:hAnsi="Avenir Book" w:cs="Times New Roman"/>
                <w:color w:val="303030"/>
                <w:sz w:val="18"/>
                <w:szCs w:val="18"/>
                <w:lang w:val="cs-CZ"/>
              </w:rPr>
              <w:t>Fáze 3, multicentrická, otevřená randomizovaná studie</w:t>
            </w:r>
          </w:p>
        </w:tc>
        <w:tc>
          <w:tcPr>
            <w:tcW w:w="475" w:type="dxa"/>
            <w:tcBorders>
              <w:bottom w:val="single" w:sz="6" w:space="0" w:color="DDE1EB"/>
            </w:tcBorders>
            <w:shd w:val="clear" w:color="auto" w:fill="FFFFFF"/>
            <w:hideMark/>
          </w:tcPr>
          <w:p w14:paraId="4F6B7892" w14:textId="77777777" w:rsidR="004F136F" w:rsidRPr="004F136F" w:rsidRDefault="004F136F" w:rsidP="004F136F">
            <w:pPr>
              <w:rPr>
                <w:rFonts w:ascii="Avenir Book" w:eastAsia="Times New Roman" w:hAnsi="Avenir Book" w:cs="Times New Roman"/>
                <w:color w:val="303030"/>
                <w:sz w:val="18"/>
                <w:szCs w:val="18"/>
                <w:lang w:val="cs-CZ"/>
              </w:rPr>
            </w:pPr>
            <w:r w:rsidRPr="004F136F">
              <w:rPr>
                <w:rFonts w:ascii="Avenir Book" w:eastAsia="Times New Roman" w:hAnsi="Avenir Book" w:cs="Times New Roman"/>
                <w:color w:val="303030"/>
                <w:sz w:val="18"/>
                <w:szCs w:val="18"/>
                <w:lang w:val="cs-CZ"/>
              </w:rPr>
              <w:t>415</w:t>
            </w:r>
          </w:p>
        </w:tc>
        <w:tc>
          <w:tcPr>
            <w:tcW w:w="2693" w:type="dxa"/>
            <w:tcBorders>
              <w:bottom w:val="single" w:sz="6" w:space="0" w:color="DDE1EB"/>
            </w:tcBorders>
            <w:shd w:val="clear" w:color="auto" w:fill="FFFFFF"/>
            <w:hideMark/>
          </w:tcPr>
          <w:p w14:paraId="68FD5C04" w14:textId="032202E4" w:rsidR="004F136F" w:rsidRPr="00E10E87" w:rsidRDefault="004F136F" w:rsidP="004F136F">
            <w:pPr>
              <w:rPr>
                <w:rFonts w:ascii="Avenir Book" w:eastAsia="Times New Roman" w:hAnsi="Avenir Book" w:cs="Times New Roman"/>
                <w:color w:val="303030"/>
                <w:sz w:val="18"/>
                <w:szCs w:val="18"/>
                <w:lang w:val="cs-CZ"/>
              </w:rPr>
            </w:pPr>
            <w:r w:rsidRPr="00E10E87">
              <w:rPr>
                <w:rFonts w:ascii="Avenir Book" w:eastAsia="Times New Roman" w:hAnsi="Avenir Book" w:cs="Times New Roman"/>
                <w:color w:val="303030"/>
                <w:sz w:val="18"/>
                <w:szCs w:val="18"/>
                <w:lang w:val="cs-CZ"/>
              </w:rPr>
              <w:t xml:space="preserve">Noninferiorita zraku a účinnost u </w:t>
            </w:r>
            <w:r w:rsidR="00490948">
              <w:rPr>
                <w:rFonts w:ascii="Avenir Book" w:eastAsia="Times New Roman" w:hAnsi="Avenir Book" w:cs="Times New Roman"/>
                <w:color w:val="303030"/>
                <w:sz w:val="18"/>
                <w:szCs w:val="18"/>
                <w:lang w:val="cs-CZ"/>
              </w:rPr>
              <w:t>PDP</w:t>
            </w:r>
            <w:r w:rsidRPr="00E10E87">
              <w:rPr>
                <w:rFonts w:ascii="Avenir Book" w:eastAsia="Times New Roman" w:hAnsi="Avenir Book" w:cs="Times New Roman"/>
                <w:color w:val="303030"/>
                <w:sz w:val="18"/>
                <w:szCs w:val="18"/>
                <w:lang w:val="cs-CZ"/>
              </w:rPr>
              <w:t xml:space="preserve"> zůstala zachována po dobu 2 let. Kolem 95 % pacientů v každém cyklu nepotřebovalo další intravitreální léčbu navíc.</w:t>
            </w:r>
          </w:p>
        </w:tc>
      </w:tr>
      <w:tr w:rsidR="004F136F" w:rsidRPr="004F136F" w14:paraId="432FD68A" w14:textId="77777777" w:rsidTr="004F136F">
        <w:tc>
          <w:tcPr>
            <w:tcW w:w="0" w:type="auto"/>
            <w:tcBorders>
              <w:bottom w:val="single" w:sz="6" w:space="0" w:color="DDE1EB"/>
            </w:tcBorders>
            <w:shd w:val="clear" w:color="auto" w:fill="FFFFFF"/>
            <w:hideMark/>
          </w:tcPr>
          <w:p w14:paraId="39B0DABC" w14:textId="0A8B4364" w:rsidR="004F136F" w:rsidRPr="004F136F" w:rsidRDefault="004F136F" w:rsidP="004F136F">
            <w:pPr>
              <w:rPr>
                <w:rFonts w:ascii="Avenir Book" w:eastAsia="Times New Roman" w:hAnsi="Avenir Book" w:cs="Times New Roman"/>
                <w:color w:val="303030"/>
                <w:sz w:val="18"/>
                <w:szCs w:val="18"/>
                <w:lang w:val="cs-CZ"/>
              </w:rPr>
            </w:pPr>
            <w:r w:rsidRPr="004F136F">
              <w:rPr>
                <w:rFonts w:ascii="Avenir Book" w:eastAsia="Times New Roman" w:hAnsi="Avenir Book" w:cs="Times New Roman"/>
                <w:color w:val="303030"/>
                <w:sz w:val="18"/>
                <w:szCs w:val="18"/>
                <w:lang w:val="cs-CZ"/>
              </w:rPr>
              <w:t>Multi-country real-life experience of anti-vascular endothelial growth factor therapy for wet age-related macular degeneration (studie AURA)</w:t>
            </w:r>
            <w:r w:rsidR="00B64B5D">
              <w:rPr>
                <w:rFonts w:ascii="Avenir Book" w:eastAsia="Times New Roman" w:hAnsi="Avenir Book" w:cs="Times New Roman"/>
                <w:color w:val="303030"/>
                <w:sz w:val="18"/>
                <w:szCs w:val="18"/>
                <w:lang w:val="cs-CZ"/>
              </w:rPr>
              <w:t xml:space="preserve"> </w:t>
            </w:r>
            <w:r w:rsidR="00B64B5D">
              <w:rPr>
                <w:rFonts w:ascii="Avenir Book" w:eastAsia="Times New Roman" w:hAnsi="Avenir Book" w:cs="Times New Roman"/>
                <w:color w:val="303030"/>
                <w:sz w:val="18"/>
                <w:szCs w:val="18"/>
                <w:lang w:val="cs-CZ"/>
              </w:rPr>
              <w:fldChar w:fldCharType="begin" w:fldLock="1"/>
            </w:r>
            <w:r w:rsidR="00B64B5D">
              <w:rPr>
                <w:rFonts w:ascii="Avenir Book" w:eastAsia="Times New Roman" w:hAnsi="Avenir Book" w:cs="Times New Roman"/>
                <w:color w:val="303030"/>
                <w:sz w:val="18"/>
                <w:szCs w:val="18"/>
                <w:lang w:val="cs-CZ"/>
              </w:rPr>
              <w:instrText>ADDIN CSL_CITATION {"citationItems":[{"id":"ITEM-1","itemData":{"DOI":"10.1136/BJOPHTHALMOL-2014-305327","ISSN":"1468-2079","PMID":"25193672","abstract":"Background/aims: Real-life anti-vascular endothelial growth factor (VEGF) therapy use in patients with wet age-related macular degeneration (wAMD) was assessed in a retrospective, observational study in Canada, France, Germany, Ireland, Italy, the Netherlands, UK and Venezuela. Methods: Medical records of patients with wAMD, who started ranibizumab treatment between 1 January 2009 and 31 August 2009, were evaluated. Data were collected until the end of treatment and/or monitoring or until 31 August 2011. Results: 2227 patients who received ≥1 anti-VEGF injection with a baseline visual acuity assessment and ≥1 postbaseline visual acuity assessment for the treated eye were evaluated. Visual acuity improved until about day 120; thereafter, visual acuity gains were not maintained. Mean change in visual acuity score from baseline to years 1 and 2 was +2.4 and +0.6 letters, respectively. Patients received a mean of 5.0 and 2.2 injections in the first and second year, respectively. There were substantial differences in visual outcomes and injection frequency between countries. More frequent visits and injections were associated with greater improvements in visual acuity. Conclusions: In clinical practice, fewer injections are administered than in clinical trials. Anti-VEGF treatment resulted in an initial improvement in visual acuity; however, this was not maintained over time. Trial registration number: NCT01447043.","author":[{"dropping-particle":"","family":"Holz","given":"Frank G.","non-dropping-particle":"","parse-names":false,"suffix":""},{"dropping-particle":"","family":"Tadayoni","given":"Ramin","non-dropping-particle":"","parse-names":false,"suffix":""},{"dropping-particle":"","family":"Beatty","given":"Stephen","non-dropping-particle":"","parse-names":false,"suffix":""},{"dropping-particle":"","family":"Berger","given":"Alan","non-dropping-particle":"","parse-names":false,"suffix":""},{"dropping-particle":"","family":"Cereda","given":"Matteo G.","non-dropping-particle":"","parse-names":false,"suffix":""},{"dropping-particle":"","family":"Cortez","given":"Rafael","non-dropping-particle":"","parse-names":false,"suffix":""},{"dropping-particle":"","family":"Hoyng","given":"Carel B.","non-dropping-particle":"","parse-names":false,"suffix":""},{"dropping-particle":"","family":"Hykin","given":"Philip","non-dropping-particle":"","parse-names":false,"suffix":""},{"dropping-particle":"","family":"Staurenghi","given":"Giovanni","non-dropping-particle":"","parse-names":false,"suffix":""},{"dropping-particle":"","family":"Heldner","given":"Stephanie","non-dropping-particle":"","parse-names":false,"suffix":""},{"dropping-particle":"","family":"Bogumil","given":"Timon","non-dropping-particle":"","parse-names":false,"suffix":""},{"dropping-particle":"","family":"Heah","given":"Theresa","non-dropping-particle":"","parse-names":false,"suffix":""},{"dropping-particle":"","family":"Sivaprasad","given":"Sobha","non-dropping-particle":"","parse-names":false,"suffix":""}],"container-title":"The British journal of ophthalmology","id":"ITEM-1","issue":"2","issued":{"date-parts":[["2015","2","1"]]},"page":"220-226","publisher":"Br J Ophthalmol","title":"Multi-country real-life experience of anti-vascular endothelial growth factor therapy for wet age-related macular degeneration","type":"article-journal","volume":"99"},"uris":["http://www.mendeley.com/documents/?uuid=3ec932a3-578d-3b83-b86d-b674ec11ddad"]}],"mendeley":{"formattedCitation":"[15]","plainTextFormattedCitation":"[15]","previouslyFormattedCitation":"[15]"},"properties":{"noteIndex":0},"schema":"https://github.com/citation-style-language/schema/raw/master/csl-citation.json"}</w:instrText>
            </w:r>
            <w:r w:rsidR="00B64B5D">
              <w:rPr>
                <w:rFonts w:ascii="Avenir Book" w:eastAsia="Times New Roman" w:hAnsi="Avenir Book" w:cs="Times New Roman"/>
                <w:color w:val="303030"/>
                <w:sz w:val="18"/>
                <w:szCs w:val="18"/>
                <w:lang w:val="cs-CZ"/>
              </w:rPr>
              <w:fldChar w:fldCharType="separate"/>
            </w:r>
            <w:r w:rsidR="00B64B5D" w:rsidRPr="00B64B5D">
              <w:rPr>
                <w:rFonts w:ascii="Avenir Book" w:eastAsia="Times New Roman" w:hAnsi="Avenir Book" w:cs="Times New Roman"/>
                <w:noProof/>
                <w:color w:val="303030"/>
                <w:sz w:val="18"/>
                <w:szCs w:val="18"/>
                <w:lang w:val="cs-CZ"/>
              </w:rPr>
              <w:t>[15]</w:t>
            </w:r>
            <w:r w:rsidR="00B64B5D">
              <w:rPr>
                <w:rFonts w:ascii="Avenir Book" w:eastAsia="Times New Roman" w:hAnsi="Avenir Book" w:cs="Times New Roman"/>
                <w:color w:val="303030"/>
                <w:sz w:val="18"/>
                <w:szCs w:val="18"/>
                <w:lang w:val="cs-CZ"/>
              </w:rPr>
              <w:fldChar w:fldCharType="end"/>
            </w:r>
          </w:p>
        </w:tc>
        <w:tc>
          <w:tcPr>
            <w:tcW w:w="0" w:type="auto"/>
            <w:tcBorders>
              <w:bottom w:val="single" w:sz="6" w:space="0" w:color="DDE1EB"/>
            </w:tcBorders>
            <w:shd w:val="clear" w:color="auto" w:fill="FFFFFF"/>
            <w:hideMark/>
          </w:tcPr>
          <w:p w14:paraId="50C42268" w14:textId="77777777" w:rsidR="004F136F" w:rsidRPr="004F136F" w:rsidRDefault="004F136F" w:rsidP="004F136F">
            <w:pPr>
              <w:rPr>
                <w:rFonts w:ascii="Avenir Book" w:eastAsia="Times New Roman" w:hAnsi="Avenir Book" w:cs="Times New Roman"/>
                <w:color w:val="303030"/>
                <w:sz w:val="18"/>
                <w:szCs w:val="18"/>
                <w:lang w:val="cs-CZ"/>
              </w:rPr>
            </w:pPr>
            <w:r w:rsidRPr="004F136F">
              <w:rPr>
                <w:rFonts w:ascii="Avenir Book" w:eastAsia="Times New Roman" w:hAnsi="Avenir Book" w:cs="Times New Roman"/>
                <w:color w:val="303030"/>
                <w:sz w:val="18"/>
                <w:szCs w:val="18"/>
                <w:lang w:val="cs-CZ"/>
              </w:rPr>
              <w:t>Frank G. Holz et al.</w:t>
            </w:r>
          </w:p>
        </w:tc>
        <w:tc>
          <w:tcPr>
            <w:tcW w:w="0" w:type="auto"/>
            <w:tcBorders>
              <w:bottom w:val="single" w:sz="6" w:space="0" w:color="DDE1EB"/>
            </w:tcBorders>
            <w:shd w:val="clear" w:color="auto" w:fill="FFFFFF"/>
            <w:hideMark/>
          </w:tcPr>
          <w:p w14:paraId="0F68CDE5" w14:textId="77777777" w:rsidR="004F136F" w:rsidRPr="004F136F" w:rsidRDefault="004F136F" w:rsidP="004F136F">
            <w:pPr>
              <w:rPr>
                <w:rFonts w:ascii="Avenir Book" w:eastAsia="Times New Roman" w:hAnsi="Avenir Book" w:cs="Times New Roman"/>
                <w:color w:val="303030"/>
                <w:sz w:val="18"/>
                <w:szCs w:val="18"/>
                <w:lang w:val="cs-CZ"/>
              </w:rPr>
            </w:pPr>
            <w:r w:rsidRPr="004F136F">
              <w:rPr>
                <w:rFonts w:ascii="Avenir Book" w:eastAsia="Times New Roman" w:hAnsi="Avenir Book" w:cs="Times New Roman"/>
                <w:color w:val="303030"/>
                <w:sz w:val="18"/>
                <w:szCs w:val="18"/>
                <w:lang w:val="cs-CZ"/>
              </w:rPr>
              <w:t>2014</w:t>
            </w:r>
          </w:p>
        </w:tc>
        <w:tc>
          <w:tcPr>
            <w:tcW w:w="1754" w:type="dxa"/>
            <w:tcBorders>
              <w:bottom w:val="single" w:sz="6" w:space="0" w:color="DDE1EB"/>
            </w:tcBorders>
            <w:shd w:val="clear" w:color="auto" w:fill="FFFFFF"/>
            <w:hideMark/>
          </w:tcPr>
          <w:p w14:paraId="42AF8310" w14:textId="77777777" w:rsidR="004F136F" w:rsidRPr="004F136F" w:rsidRDefault="004F136F" w:rsidP="004F136F">
            <w:pPr>
              <w:rPr>
                <w:rFonts w:ascii="Avenir Book" w:eastAsia="Times New Roman" w:hAnsi="Avenir Book" w:cs="Times New Roman"/>
                <w:color w:val="303030"/>
                <w:sz w:val="18"/>
                <w:szCs w:val="18"/>
                <w:lang w:val="cs-CZ"/>
              </w:rPr>
            </w:pPr>
            <w:r w:rsidRPr="004F136F">
              <w:rPr>
                <w:rFonts w:ascii="Avenir Book" w:eastAsia="Times New Roman" w:hAnsi="Avenir Book" w:cs="Times New Roman"/>
                <w:color w:val="303030"/>
                <w:sz w:val="18"/>
                <w:szCs w:val="18"/>
                <w:lang w:val="cs-CZ"/>
              </w:rPr>
              <w:t>Retrospektivní, observační multicentrická studie</w:t>
            </w:r>
          </w:p>
        </w:tc>
        <w:tc>
          <w:tcPr>
            <w:tcW w:w="475" w:type="dxa"/>
            <w:tcBorders>
              <w:bottom w:val="single" w:sz="6" w:space="0" w:color="DDE1EB"/>
            </w:tcBorders>
            <w:shd w:val="clear" w:color="auto" w:fill="FFFFFF"/>
            <w:hideMark/>
          </w:tcPr>
          <w:p w14:paraId="6243D17B" w14:textId="77777777" w:rsidR="004F136F" w:rsidRPr="004F136F" w:rsidRDefault="004F136F" w:rsidP="004F136F">
            <w:pPr>
              <w:rPr>
                <w:rFonts w:ascii="Avenir Book" w:eastAsia="Times New Roman" w:hAnsi="Avenir Book" w:cs="Times New Roman"/>
                <w:color w:val="303030"/>
                <w:sz w:val="18"/>
                <w:szCs w:val="18"/>
                <w:lang w:val="cs-CZ"/>
              </w:rPr>
            </w:pPr>
            <w:r w:rsidRPr="004F136F">
              <w:rPr>
                <w:rFonts w:ascii="Avenir Book" w:eastAsia="Times New Roman" w:hAnsi="Avenir Book" w:cs="Times New Roman"/>
                <w:color w:val="303030"/>
                <w:sz w:val="18"/>
                <w:szCs w:val="18"/>
                <w:lang w:val="cs-CZ"/>
              </w:rPr>
              <w:t>2227</w:t>
            </w:r>
          </w:p>
        </w:tc>
        <w:tc>
          <w:tcPr>
            <w:tcW w:w="2693" w:type="dxa"/>
            <w:tcBorders>
              <w:bottom w:val="single" w:sz="6" w:space="0" w:color="DDE1EB"/>
            </w:tcBorders>
            <w:shd w:val="clear" w:color="auto" w:fill="FFFFFF"/>
            <w:hideMark/>
          </w:tcPr>
          <w:p w14:paraId="5EC83F43" w14:textId="77777777" w:rsidR="004F136F" w:rsidRPr="00E10E87" w:rsidRDefault="004F136F" w:rsidP="004F136F">
            <w:pPr>
              <w:rPr>
                <w:rFonts w:ascii="Avenir Book" w:eastAsia="Times New Roman" w:hAnsi="Avenir Book" w:cs="Times New Roman"/>
                <w:color w:val="303030"/>
                <w:sz w:val="18"/>
                <w:szCs w:val="18"/>
                <w:lang w:val="cs-CZ"/>
              </w:rPr>
            </w:pPr>
            <w:r w:rsidRPr="00E10E87">
              <w:rPr>
                <w:rFonts w:ascii="Avenir Book" w:eastAsia="Times New Roman" w:hAnsi="Avenir Book" w:cs="Times New Roman"/>
                <w:color w:val="303030"/>
                <w:sz w:val="18"/>
                <w:szCs w:val="18"/>
                <w:lang w:val="cs-CZ"/>
              </w:rPr>
              <w:t>V reálné klinické praxi se zraková ostrost zpočátku zlepšila (do 120. dne), avšak zisky nebyly dlouhodobě udrženy. Úspěch silně souvisel s frekvencí návštěv a injekcí.</w:t>
            </w:r>
          </w:p>
        </w:tc>
      </w:tr>
      <w:tr w:rsidR="004F136F" w:rsidRPr="004F136F" w14:paraId="5287DCE8" w14:textId="77777777" w:rsidTr="004F136F">
        <w:tc>
          <w:tcPr>
            <w:tcW w:w="0" w:type="auto"/>
            <w:tcBorders>
              <w:bottom w:val="single" w:sz="6" w:space="0" w:color="DDE1EB"/>
            </w:tcBorders>
            <w:shd w:val="clear" w:color="auto" w:fill="FFFFFF"/>
            <w:hideMark/>
          </w:tcPr>
          <w:p w14:paraId="2C19B194" w14:textId="65B3A47E" w:rsidR="004F136F" w:rsidRPr="004F136F" w:rsidRDefault="004F136F" w:rsidP="004F136F">
            <w:pPr>
              <w:rPr>
                <w:rFonts w:ascii="Avenir Book" w:eastAsia="Times New Roman" w:hAnsi="Avenir Book" w:cs="Times New Roman"/>
                <w:color w:val="303030"/>
                <w:sz w:val="18"/>
                <w:szCs w:val="18"/>
                <w:lang w:val="cs-CZ"/>
              </w:rPr>
            </w:pPr>
            <w:r w:rsidRPr="004F136F">
              <w:rPr>
                <w:rFonts w:ascii="Avenir Book" w:eastAsia="Times New Roman" w:hAnsi="Avenir Book" w:cs="Times New Roman"/>
                <w:color w:val="303030"/>
                <w:sz w:val="18"/>
                <w:szCs w:val="18"/>
                <w:lang w:val="cs-CZ"/>
              </w:rPr>
              <w:t>Visual Acuity Outcomes and Anti-Vascular Endothelial Growth Factor Therapy Intensity in Neovascular Age-Related Macular Degeneration Patients: A Real-World Analysis of 49 485 Eyes</w:t>
            </w:r>
            <w:r w:rsidR="00B64B5D">
              <w:rPr>
                <w:rFonts w:ascii="Avenir Book" w:eastAsia="Times New Roman" w:hAnsi="Avenir Book" w:cs="Times New Roman"/>
                <w:color w:val="303030"/>
                <w:sz w:val="18"/>
                <w:szCs w:val="18"/>
                <w:lang w:val="cs-CZ"/>
              </w:rPr>
              <w:t xml:space="preserve"> </w:t>
            </w:r>
            <w:r w:rsidR="00B64B5D">
              <w:rPr>
                <w:rFonts w:ascii="Avenir Book" w:eastAsia="Times New Roman" w:hAnsi="Avenir Book" w:cs="Times New Roman"/>
                <w:color w:val="303030"/>
                <w:sz w:val="18"/>
                <w:szCs w:val="18"/>
                <w:lang w:val="cs-CZ"/>
              </w:rPr>
              <w:fldChar w:fldCharType="begin" w:fldLock="1"/>
            </w:r>
            <w:r w:rsidR="00B64B5D">
              <w:rPr>
                <w:rFonts w:ascii="Avenir Book" w:eastAsia="Times New Roman" w:hAnsi="Avenir Book" w:cs="Times New Roman"/>
                <w:color w:val="303030"/>
                <w:sz w:val="18"/>
                <w:szCs w:val="18"/>
                <w:lang w:val="cs-CZ"/>
              </w:rPr>
              <w:instrText>ADDIN CSL_CITATION {"citationItems":[{"id":"ITEM-1","itemData":{"DOI":"10.1016/j.oret.2019.05.017","ISSN":"24686530","PMID":"31324588","abstract":"Purpose: This study assessed anti–vascular endothelial growth factor (VEGF) therapy intensity and its relationship with visual acuity (VA) change in real-world neovascular age-related macular degeneration (nAMD) patients. Design: This retrospective analysis was performed on a large database of aggregated, longitudinal, de-identified electronic medical records from a geographically and demographically diverse sample of patients of United States retina specialists (Vestrum Health Retina Database). Participants: Treatment-naïve nAMD patients who underwent anti-VEGF injections between January 1, 2012, and October 31, 2016, were eligible if follow-up data were available before October 31, 2017. Methods: Age, gender, anti-VEGF treatment type, number of treatments, and VA were extracted from the database. Main Outcome Measure: Mean VA change assessed at 1 year and stratified based on number of anti-VEGF injections received over 1 year. Results: In this analysis, 49 485 eyes were included. The mean age was 80.9 years, and 64% were female. Mean baseline VA was 53.8 letters (Snellen equivalent, 20/80). At 1 year, after a mean of 7.3 anti-VEGF injections, there was a mean gain of 1 letter (0.95 letter; 95% confidence interval [CI] for change in VA, +0.77 to +1.13 letter; P &lt; 0.001). When stratified by anti-VEGF agent, the mean VA changes were nearly identical at 1 year. There was a linear relationship between mean letters gained and mean number of injections, between 4 and 10 injections over 1 year, with 4 or fewer or 10 or more injections associated with loss of vision or a plateau, respectively. Greater mean 1-year change in VA also trended with worse baseline VA; those patients with better VA at presentation tended to be particularly vulnerable to vision loss. Those who received the fewest injections tended to be older and have worse baseline VA. Conclusions: Real-world nAMD patients receive fewer anti-VEGF injections and experience worse visual outcomes compared with patients receiving fixed, frequent therapy in randomized controlled trials. Mean change in VA correlates with treatment intensity at 1 year, but with ceiling effects related to treatment intensity and baseline VA. Older patients and those with poor baseline VA may be particularly prone to undertreatment.","author":[{"dropping-particle":"","family":"Ciulla","given":"Thomas A.","non-dropping-particle":"","parse-names":false,"suffix":""},{"dropping-particle":"","family":"Hussain","given":"Rehan M.","non-dropping-particle":"","parse-names":false,"suffix":""},{"dropping-particle":"","family":"Pollack","given":"John S.","non-dropping-particle":"","parse-names":false,"suffix":""},{"dropping-particle":"","family":"Williams","given":"David F.","non-dropping-particle":"","parse-names":false,"suffix":""}],"container-title":"Ophthalmology Retina","id":"ITEM-1","issue":"1","issued":{"date-parts":[["2020","1","1"]]},"page":"19-30","publisher":"Elsevier Inc","title":"Visual Acuity Outcomes and Anti–Vascular Endothelial Growth Factor Therapy Intensity in Neovascular Age-Related Macular Degeneration Patients: A Real-World Analysis of 49</w:instrText>
            </w:r>
            <w:r w:rsidR="00B64B5D">
              <w:rPr>
                <w:rFonts w:ascii="Times New Roman" w:eastAsia="Times New Roman" w:hAnsi="Times New Roman" w:cs="Times New Roman"/>
                <w:color w:val="303030"/>
                <w:sz w:val="18"/>
                <w:szCs w:val="18"/>
                <w:lang w:val="cs-CZ"/>
              </w:rPr>
              <w:instrText> </w:instrText>
            </w:r>
            <w:r w:rsidR="00B64B5D">
              <w:rPr>
                <w:rFonts w:ascii="Avenir Book" w:eastAsia="Times New Roman" w:hAnsi="Avenir Book" w:cs="Times New Roman"/>
                <w:color w:val="303030"/>
                <w:sz w:val="18"/>
                <w:szCs w:val="18"/>
                <w:lang w:val="cs-CZ"/>
              </w:rPr>
              <w:instrText>485 Eyes","type":"article-journal","volume":"4"},"uris":["http://www.mendeley.com/documents/?uuid=22aade40-901b-3ad7-8c0b-d95d71ba265a"]}],"mendeley":{"formattedCitation":"[8]","plainTextFormattedCitation":"[8]","previouslyFormattedCitation":"[8]"},"properties":{"noteIndex":0},"schema":"https://github.com/citation-style-language/schema/raw/master/csl-citation.json"}</w:instrText>
            </w:r>
            <w:r w:rsidR="00B64B5D">
              <w:rPr>
                <w:rFonts w:ascii="Avenir Book" w:eastAsia="Times New Roman" w:hAnsi="Avenir Book" w:cs="Times New Roman"/>
                <w:color w:val="303030"/>
                <w:sz w:val="18"/>
                <w:szCs w:val="18"/>
                <w:lang w:val="cs-CZ"/>
              </w:rPr>
              <w:fldChar w:fldCharType="separate"/>
            </w:r>
            <w:r w:rsidR="00B64B5D" w:rsidRPr="00B64B5D">
              <w:rPr>
                <w:rFonts w:ascii="Avenir Book" w:eastAsia="Times New Roman" w:hAnsi="Avenir Book" w:cs="Times New Roman"/>
                <w:noProof/>
                <w:color w:val="303030"/>
                <w:sz w:val="18"/>
                <w:szCs w:val="18"/>
                <w:lang w:val="cs-CZ"/>
              </w:rPr>
              <w:t>[8]</w:t>
            </w:r>
            <w:r w:rsidR="00B64B5D">
              <w:rPr>
                <w:rFonts w:ascii="Avenir Book" w:eastAsia="Times New Roman" w:hAnsi="Avenir Book" w:cs="Times New Roman"/>
                <w:color w:val="303030"/>
                <w:sz w:val="18"/>
                <w:szCs w:val="18"/>
                <w:lang w:val="cs-CZ"/>
              </w:rPr>
              <w:fldChar w:fldCharType="end"/>
            </w:r>
          </w:p>
        </w:tc>
        <w:tc>
          <w:tcPr>
            <w:tcW w:w="0" w:type="auto"/>
            <w:tcBorders>
              <w:bottom w:val="single" w:sz="6" w:space="0" w:color="DDE1EB"/>
            </w:tcBorders>
            <w:shd w:val="clear" w:color="auto" w:fill="FFFFFF"/>
            <w:hideMark/>
          </w:tcPr>
          <w:p w14:paraId="70BE4910" w14:textId="77777777" w:rsidR="004F136F" w:rsidRPr="004F136F" w:rsidRDefault="004F136F" w:rsidP="004F136F">
            <w:pPr>
              <w:rPr>
                <w:rFonts w:ascii="Avenir Book" w:eastAsia="Times New Roman" w:hAnsi="Avenir Book" w:cs="Times New Roman"/>
                <w:color w:val="303030"/>
                <w:sz w:val="18"/>
                <w:szCs w:val="18"/>
                <w:lang w:val="cs-CZ"/>
              </w:rPr>
            </w:pPr>
            <w:r w:rsidRPr="004F136F">
              <w:rPr>
                <w:rFonts w:ascii="Avenir Book" w:eastAsia="Times New Roman" w:hAnsi="Avenir Book" w:cs="Times New Roman"/>
                <w:color w:val="303030"/>
                <w:sz w:val="18"/>
                <w:szCs w:val="18"/>
                <w:lang w:val="cs-CZ"/>
              </w:rPr>
              <w:t>Thomas A. Ciulla et al.</w:t>
            </w:r>
          </w:p>
        </w:tc>
        <w:tc>
          <w:tcPr>
            <w:tcW w:w="0" w:type="auto"/>
            <w:tcBorders>
              <w:bottom w:val="single" w:sz="6" w:space="0" w:color="DDE1EB"/>
            </w:tcBorders>
            <w:shd w:val="clear" w:color="auto" w:fill="FFFFFF"/>
            <w:hideMark/>
          </w:tcPr>
          <w:p w14:paraId="4F05E3E5" w14:textId="77777777" w:rsidR="004F136F" w:rsidRPr="004F136F" w:rsidRDefault="004F136F" w:rsidP="004F136F">
            <w:pPr>
              <w:rPr>
                <w:rFonts w:ascii="Avenir Book" w:eastAsia="Times New Roman" w:hAnsi="Avenir Book" w:cs="Times New Roman"/>
                <w:color w:val="303030"/>
                <w:sz w:val="18"/>
                <w:szCs w:val="18"/>
                <w:lang w:val="cs-CZ"/>
              </w:rPr>
            </w:pPr>
            <w:r w:rsidRPr="004F136F">
              <w:rPr>
                <w:rFonts w:ascii="Avenir Book" w:eastAsia="Times New Roman" w:hAnsi="Avenir Book" w:cs="Times New Roman"/>
                <w:color w:val="303030"/>
                <w:sz w:val="18"/>
                <w:szCs w:val="18"/>
                <w:lang w:val="cs-CZ"/>
              </w:rPr>
              <w:t>2019</w:t>
            </w:r>
          </w:p>
        </w:tc>
        <w:tc>
          <w:tcPr>
            <w:tcW w:w="1754" w:type="dxa"/>
            <w:tcBorders>
              <w:bottom w:val="single" w:sz="6" w:space="0" w:color="DDE1EB"/>
            </w:tcBorders>
            <w:shd w:val="clear" w:color="auto" w:fill="FFFFFF"/>
            <w:hideMark/>
          </w:tcPr>
          <w:p w14:paraId="3004B66A" w14:textId="77777777" w:rsidR="004F136F" w:rsidRPr="004F136F" w:rsidRDefault="004F136F" w:rsidP="004F136F">
            <w:pPr>
              <w:rPr>
                <w:rFonts w:ascii="Avenir Book" w:eastAsia="Times New Roman" w:hAnsi="Avenir Book" w:cs="Times New Roman"/>
                <w:color w:val="303030"/>
                <w:sz w:val="18"/>
                <w:szCs w:val="18"/>
                <w:lang w:val="cs-CZ"/>
              </w:rPr>
            </w:pPr>
            <w:r w:rsidRPr="004F136F">
              <w:rPr>
                <w:rFonts w:ascii="Avenir Book" w:eastAsia="Times New Roman" w:hAnsi="Avenir Book" w:cs="Times New Roman"/>
                <w:color w:val="303030"/>
                <w:sz w:val="18"/>
                <w:szCs w:val="18"/>
                <w:lang w:val="cs-CZ"/>
              </w:rPr>
              <w:t>Retrospektivní nekontrolovaná analýza z EMR</w:t>
            </w:r>
          </w:p>
        </w:tc>
        <w:tc>
          <w:tcPr>
            <w:tcW w:w="475" w:type="dxa"/>
            <w:tcBorders>
              <w:bottom w:val="single" w:sz="6" w:space="0" w:color="DDE1EB"/>
            </w:tcBorders>
            <w:shd w:val="clear" w:color="auto" w:fill="FFFFFF"/>
            <w:hideMark/>
          </w:tcPr>
          <w:p w14:paraId="3FD6BB67" w14:textId="77777777" w:rsidR="004F136F" w:rsidRPr="004F136F" w:rsidRDefault="004F136F" w:rsidP="004F136F">
            <w:pPr>
              <w:rPr>
                <w:rFonts w:ascii="Avenir Book" w:eastAsia="Times New Roman" w:hAnsi="Avenir Book" w:cs="Times New Roman"/>
                <w:color w:val="303030"/>
                <w:sz w:val="18"/>
                <w:szCs w:val="18"/>
                <w:lang w:val="cs-CZ"/>
              </w:rPr>
            </w:pPr>
            <w:r w:rsidRPr="004F136F">
              <w:rPr>
                <w:rFonts w:ascii="Avenir Book" w:eastAsia="Times New Roman" w:hAnsi="Avenir Book" w:cs="Times New Roman"/>
                <w:color w:val="303030"/>
                <w:sz w:val="18"/>
                <w:szCs w:val="18"/>
                <w:lang w:val="cs-CZ"/>
              </w:rPr>
              <w:t>49 485 očí</w:t>
            </w:r>
          </w:p>
        </w:tc>
        <w:tc>
          <w:tcPr>
            <w:tcW w:w="2693" w:type="dxa"/>
            <w:tcBorders>
              <w:bottom w:val="single" w:sz="6" w:space="0" w:color="DDE1EB"/>
            </w:tcBorders>
            <w:shd w:val="clear" w:color="auto" w:fill="FFFFFF"/>
            <w:hideMark/>
          </w:tcPr>
          <w:p w14:paraId="2BE02F6B" w14:textId="77777777" w:rsidR="004F136F" w:rsidRPr="00E10E87" w:rsidRDefault="004F136F" w:rsidP="004F136F">
            <w:pPr>
              <w:rPr>
                <w:rFonts w:ascii="Avenir Book" w:eastAsia="Times New Roman" w:hAnsi="Avenir Book" w:cs="Times New Roman"/>
                <w:color w:val="303030"/>
                <w:sz w:val="18"/>
                <w:szCs w:val="18"/>
                <w:lang w:val="cs-CZ"/>
              </w:rPr>
            </w:pPr>
            <w:r w:rsidRPr="00E10E87">
              <w:rPr>
                <w:rFonts w:ascii="Avenir Book" w:eastAsia="Times New Roman" w:hAnsi="Avenir Book" w:cs="Times New Roman"/>
                <w:color w:val="303030"/>
                <w:sz w:val="18"/>
                <w:szCs w:val="18"/>
                <w:lang w:val="cs-CZ"/>
              </w:rPr>
              <w:t>Pacienti v reálném světě dostávají méně injekcí a dosahují horších výsledků než v klinických studiích, zlepšení činí průměrně jen o 1 písmeno za rok.</w:t>
            </w:r>
          </w:p>
        </w:tc>
      </w:tr>
      <w:tr w:rsidR="004F136F" w:rsidRPr="004F136F" w14:paraId="0306BCCF" w14:textId="77777777" w:rsidTr="004F136F">
        <w:tc>
          <w:tcPr>
            <w:tcW w:w="0" w:type="auto"/>
            <w:tcBorders>
              <w:bottom w:val="single" w:sz="6" w:space="0" w:color="DDE1EB"/>
            </w:tcBorders>
            <w:shd w:val="clear" w:color="auto" w:fill="FFFFFF"/>
            <w:hideMark/>
          </w:tcPr>
          <w:p w14:paraId="4EBAECF6" w14:textId="2064B78B" w:rsidR="004F136F" w:rsidRPr="004F136F" w:rsidRDefault="004F136F" w:rsidP="004F136F">
            <w:pPr>
              <w:rPr>
                <w:rFonts w:ascii="Avenir Book" w:eastAsia="Times New Roman" w:hAnsi="Avenir Book" w:cs="Times New Roman"/>
                <w:color w:val="303030"/>
                <w:sz w:val="18"/>
                <w:szCs w:val="18"/>
                <w:lang w:val="cs-CZ"/>
              </w:rPr>
            </w:pPr>
            <w:r w:rsidRPr="004F136F">
              <w:rPr>
                <w:rFonts w:ascii="Avenir Book" w:eastAsia="Times New Roman" w:hAnsi="Avenir Book" w:cs="Times New Roman"/>
                <w:color w:val="303030"/>
                <w:sz w:val="18"/>
                <w:szCs w:val="18"/>
                <w:lang w:val="cs-CZ"/>
              </w:rPr>
              <w:t xml:space="preserve">The real-world efficacy and safety of faricimab in neovascular age-related macular degeneration: the TRUCKEE study – 6 </w:t>
            </w:r>
            <w:r w:rsidRPr="004F136F">
              <w:rPr>
                <w:rFonts w:ascii="Avenir Book" w:eastAsia="Times New Roman" w:hAnsi="Avenir Book" w:cs="Times New Roman"/>
                <w:color w:val="303030"/>
                <w:sz w:val="18"/>
                <w:szCs w:val="18"/>
                <w:lang w:val="cs-CZ"/>
              </w:rPr>
              <w:lastRenderedPageBreak/>
              <w:t>month results (studie TRUCKEE)</w:t>
            </w:r>
            <w:r w:rsidR="00B64B5D">
              <w:rPr>
                <w:rFonts w:ascii="Avenir Book" w:eastAsia="Times New Roman" w:hAnsi="Avenir Book" w:cs="Times New Roman"/>
                <w:color w:val="303030"/>
                <w:sz w:val="18"/>
                <w:szCs w:val="18"/>
                <w:lang w:val="cs-CZ"/>
              </w:rPr>
              <w:t xml:space="preserve"> </w:t>
            </w:r>
            <w:r w:rsidR="00B64B5D">
              <w:rPr>
                <w:rFonts w:ascii="Avenir Book" w:eastAsia="Times New Roman" w:hAnsi="Avenir Book" w:cs="Times New Roman"/>
                <w:color w:val="303030"/>
                <w:sz w:val="18"/>
                <w:szCs w:val="18"/>
                <w:lang w:val="cs-CZ"/>
              </w:rPr>
              <w:fldChar w:fldCharType="begin" w:fldLock="1"/>
            </w:r>
            <w:r w:rsidR="00B64B5D">
              <w:rPr>
                <w:rFonts w:ascii="Avenir Book" w:eastAsia="Times New Roman" w:hAnsi="Avenir Book" w:cs="Times New Roman"/>
                <w:color w:val="303030"/>
                <w:sz w:val="18"/>
                <w:szCs w:val="18"/>
                <w:lang w:val="cs-CZ"/>
              </w:rPr>
              <w:instrText>ADDIN CSL_CITATION {"citationItems":[{"id":"ITEM-1","itemData":{"DOI":"10.1038/S41433-023-02553-5","ISSN":"14765454","PMID":"37173428","abstract":"Background/Objective: Investigate real-world patients receiving faricimab for the treatment of neovascular age-related macular degeneration (nAMD). Subjects/Methods: Multicenter, retrospective chart review was conducted on patients treated with faricimab for nAMD from February 2022 to September 2022. Collected data includes background demographics, treatment history, best-corrected visual acuity (BCVA), anatomic changes, and adverse events as safety markers. The main outcome measures are changes in BCVA, changes in central subfield thickness (CST) and adverse events. Secondary outcome measures included treatment intervals and presence of retinal fluid. Results: After one injection of faricimab, all eyes (n = 376), previously-treated (n = 337) and treatment-naïve (n = 39) eyes demonstrated a + 1.1 letter (p = 0.035), a + 0.7 letter (p = 0.196) and a + 4.9 letter (p = 0.076) improvement in BCVA, respectively, and a − 31.3 μM (p &lt; 0.001), a − 25.3 μM (p &lt; 0.001) and a − 84.5 μM (p &lt; 0.001) reduction in CST, respectively. After three injections of faricimab, all eyes (n = 94), previously-treated (n = 81) and treatment-naïve (n = 13) eyes demonstrated a + 3.4 letter (p = 0.03), a + 2.7 letter (p = 0.045) and a + 8.1 letter (p = 0.437) improvement in BCVA, and a − 43.4 μM (p &lt; 0.001), a − 38.1 μM (p &lt; 0.001) and a − 80.1 μM (p &lt; 0.204) reduction in CST, respectively. One case of intraocular inflammation was observed after four injections of faricimab and resolved with topical steroids. One case of infectious endophthalmitis was treated with intravitreal antibiotics and resolved. Conclusions: Faricimab has demonstrated improvement or maintenance of visual acuity for patients with nAMD, along with rapid improvement of anatomical parameters. It has been well-tolerated with low incidence of treatable intraocular inflammation. Future data will continue to investigate faricimab for real-world patients with nAMD.","author":[{"dropping-particle":"","family":"Khanani","given":"Arshad M.","non-dropping-particle":"","parse-names":false,"suffix":""},{"dropping-particle":"","family":"Aziz","given":"Aamir A.","non-dropping-particle":"","parse-names":false,"suffix":""},{"dropping-particle":"","family":"Khan","given":"Hannah","non-dropping-particle":"","parse-names":false,"suffix":""},{"dropping-particle":"","family":"Gupta","given":"Ashwin","non-dropping-particle":"","parse-names":false,"suffix":""},{"dropping-particle":"","family":"Mojumder","given":"Ohidul","non-dropping-particle":"","parse-names":false,"suffix":""},{"dropping-particle":"","family":"Saulebayeva","given":"Aigerim","non-dropping-particle":"","parse-names":false,"suffix":""},{"dropping-particle":"","family":"Abbey","given":"Ashkan M.","non-dropping-particle":"","parse-names":false,"suffix":""},{"dropping-particle":"","family":"Almeida","given":"David R.P.","non-dropping-particle":"","parse-names":false,"suffix":""},{"dropping-particle":"","family":"Avery","given":"Robert L.","non-dropping-particle":"","parse-names":false,"suffix":""},{"dropping-particle":"","family":"Banda","given":"Himanshu K.","non-dropping-particle":"","parse-names":false,"suffix":""},{"dropping-particle":"","family":"Barakat","given":"Mark R.","non-dropping-particle":"","parse-names":false,"suffix":""},{"dropping-particle":"","family":"Bhandari","given":"Ramanath","non-dropping-particle":"","parse-names":false,"suffix":""},{"dropping-particle":"","family":"Chang","given":"Emmanuel Y.","non-dropping-particle":"","parse-names":false,"suffix":""},{"dropping-particle":"","family":"Haug","given":"Sara J.","non-dropping-particle":"","parse-names":false,"suffix":""},{"dropping-particle":"","family":"London","given":"Nikolas J.S.","non-dropping-particle":"","parse-names":false,"suffix":""},{"dropping-particle":"","family":"Mein","given":"Luke","non-dropping-particle":"","parse-names":false,"suffix":""},{"dropping-particle":"","family":"Sheth","given":"Veeral S.","non-dropping-particle":"","parse-names":false,"suffix":""},{"dropping-particle":"","family":"Wolfe","given":"Jeremy D.","non-dropping-particle":"","parse-names":false,"suffix":""},{"dropping-particle":"","family":"Singer","given":"Michael A.","non-dropping-particle":"","parse-names":false,"suffix":""},{"dropping-particle":"","family":"Danzig","given":"Carl J.","non-dropping-particle":"","parse-names":false,"suffix":""}],"container-title":"Eye","id":"ITEM-1","issue":"17","issued":{"date-parts":[["2023","12","1"]]},"page":"3574","publisher":"Springer Nature","title":"The real-world efficacy and safety of faricimab in neovascular age-related macular degeneration: the TRUCKEE study – 6 month results","type":"article-journal","volume":"37"},"uris":["http://www.mendeley.com/documents/?uuid=7b701fb8-6c12-31f5-a3bb-cb18d0715cca"]}],"mendeley":{"formattedCitation":"[11]","plainTextFormattedCitation":"[11]","previouslyFormattedCitation":"[11]"},"properties":{"noteIndex":0},"schema":"https://github.com/citation-style-language/schema/raw/master/csl-citation.json"}</w:instrText>
            </w:r>
            <w:r w:rsidR="00B64B5D">
              <w:rPr>
                <w:rFonts w:ascii="Avenir Book" w:eastAsia="Times New Roman" w:hAnsi="Avenir Book" w:cs="Times New Roman"/>
                <w:color w:val="303030"/>
                <w:sz w:val="18"/>
                <w:szCs w:val="18"/>
                <w:lang w:val="cs-CZ"/>
              </w:rPr>
              <w:fldChar w:fldCharType="separate"/>
            </w:r>
            <w:r w:rsidR="00B64B5D" w:rsidRPr="00B64B5D">
              <w:rPr>
                <w:rFonts w:ascii="Avenir Book" w:eastAsia="Times New Roman" w:hAnsi="Avenir Book" w:cs="Times New Roman"/>
                <w:noProof/>
                <w:color w:val="303030"/>
                <w:sz w:val="18"/>
                <w:szCs w:val="18"/>
                <w:lang w:val="cs-CZ"/>
              </w:rPr>
              <w:t>[11]</w:t>
            </w:r>
            <w:r w:rsidR="00B64B5D">
              <w:rPr>
                <w:rFonts w:ascii="Avenir Book" w:eastAsia="Times New Roman" w:hAnsi="Avenir Book" w:cs="Times New Roman"/>
                <w:color w:val="303030"/>
                <w:sz w:val="18"/>
                <w:szCs w:val="18"/>
                <w:lang w:val="cs-CZ"/>
              </w:rPr>
              <w:fldChar w:fldCharType="end"/>
            </w:r>
          </w:p>
        </w:tc>
        <w:tc>
          <w:tcPr>
            <w:tcW w:w="0" w:type="auto"/>
            <w:tcBorders>
              <w:bottom w:val="single" w:sz="6" w:space="0" w:color="DDE1EB"/>
            </w:tcBorders>
            <w:shd w:val="clear" w:color="auto" w:fill="FFFFFF"/>
            <w:hideMark/>
          </w:tcPr>
          <w:p w14:paraId="74218509" w14:textId="77777777" w:rsidR="004F136F" w:rsidRPr="004F136F" w:rsidRDefault="004F136F" w:rsidP="004F136F">
            <w:pPr>
              <w:rPr>
                <w:rFonts w:ascii="Avenir Book" w:eastAsia="Times New Roman" w:hAnsi="Avenir Book" w:cs="Times New Roman"/>
                <w:color w:val="303030"/>
                <w:sz w:val="18"/>
                <w:szCs w:val="18"/>
                <w:lang w:val="cs-CZ"/>
              </w:rPr>
            </w:pPr>
            <w:r w:rsidRPr="004F136F">
              <w:rPr>
                <w:rFonts w:ascii="Avenir Book" w:eastAsia="Times New Roman" w:hAnsi="Avenir Book" w:cs="Times New Roman"/>
                <w:color w:val="303030"/>
                <w:sz w:val="18"/>
                <w:szCs w:val="18"/>
                <w:lang w:val="cs-CZ"/>
              </w:rPr>
              <w:lastRenderedPageBreak/>
              <w:t>Arshad M. Khanani et al.</w:t>
            </w:r>
          </w:p>
        </w:tc>
        <w:tc>
          <w:tcPr>
            <w:tcW w:w="0" w:type="auto"/>
            <w:tcBorders>
              <w:bottom w:val="single" w:sz="6" w:space="0" w:color="DDE1EB"/>
            </w:tcBorders>
            <w:shd w:val="clear" w:color="auto" w:fill="FFFFFF"/>
            <w:hideMark/>
          </w:tcPr>
          <w:p w14:paraId="44F9AB25" w14:textId="77777777" w:rsidR="004F136F" w:rsidRPr="004F136F" w:rsidRDefault="004F136F" w:rsidP="004F136F">
            <w:pPr>
              <w:rPr>
                <w:rFonts w:ascii="Avenir Book" w:eastAsia="Times New Roman" w:hAnsi="Avenir Book" w:cs="Times New Roman"/>
                <w:color w:val="303030"/>
                <w:sz w:val="18"/>
                <w:szCs w:val="18"/>
                <w:lang w:val="cs-CZ"/>
              </w:rPr>
            </w:pPr>
            <w:r w:rsidRPr="004F136F">
              <w:rPr>
                <w:rFonts w:ascii="Avenir Book" w:eastAsia="Times New Roman" w:hAnsi="Avenir Book" w:cs="Times New Roman"/>
                <w:color w:val="303030"/>
                <w:sz w:val="18"/>
                <w:szCs w:val="18"/>
                <w:lang w:val="cs-CZ"/>
              </w:rPr>
              <w:t>2023</w:t>
            </w:r>
          </w:p>
        </w:tc>
        <w:tc>
          <w:tcPr>
            <w:tcW w:w="1754" w:type="dxa"/>
            <w:tcBorders>
              <w:bottom w:val="single" w:sz="6" w:space="0" w:color="DDE1EB"/>
            </w:tcBorders>
            <w:shd w:val="clear" w:color="auto" w:fill="FFFFFF"/>
            <w:hideMark/>
          </w:tcPr>
          <w:p w14:paraId="39279477" w14:textId="77777777" w:rsidR="004F136F" w:rsidRPr="004F136F" w:rsidRDefault="004F136F" w:rsidP="004F136F">
            <w:pPr>
              <w:rPr>
                <w:rFonts w:ascii="Avenir Book" w:eastAsia="Times New Roman" w:hAnsi="Avenir Book" w:cs="Times New Roman"/>
                <w:color w:val="303030"/>
                <w:sz w:val="18"/>
                <w:szCs w:val="18"/>
                <w:lang w:val="cs-CZ"/>
              </w:rPr>
            </w:pPr>
            <w:r w:rsidRPr="004F136F">
              <w:rPr>
                <w:rFonts w:ascii="Avenir Book" w:eastAsia="Times New Roman" w:hAnsi="Avenir Book" w:cs="Times New Roman"/>
                <w:color w:val="303030"/>
                <w:sz w:val="18"/>
                <w:szCs w:val="18"/>
                <w:lang w:val="cs-CZ"/>
              </w:rPr>
              <w:t>Multicentrická retrospektivní analýza</w:t>
            </w:r>
          </w:p>
        </w:tc>
        <w:tc>
          <w:tcPr>
            <w:tcW w:w="475" w:type="dxa"/>
            <w:tcBorders>
              <w:bottom w:val="single" w:sz="6" w:space="0" w:color="DDE1EB"/>
            </w:tcBorders>
            <w:shd w:val="clear" w:color="auto" w:fill="FFFFFF"/>
            <w:hideMark/>
          </w:tcPr>
          <w:p w14:paraId="3E7773E5" w14:textId="77777777" w:rsidR="004F136F" w:rsidRPr="004F136F" w:rsidRDefault="004F136F" w:rsidP="004F136F">
            <w:pPr>
              <w:rPr>
                <w:rFonts w:ascii="Avenir Book" w:eastAsia="Times New Roman" w:hAnsi="Avenir Book" w:cs="Times New Roman"/>
                <w:color w:val="303030"/>
                <w:sz w:val="18"/>
                <w:szCs w:val="18"/>
                <w:lang w:val="cs-CZ"/>
              </w:rPr>
            </w:pPr>
            <w:r w:rsidRPr="004F136F">
              <w:rPr>
                <w:rFonts w:ascii="Avenir Book" w:eastAsia="Times New Roman" w:hAnsi="Avenir Book" w:cs="Times New Roman"/>
                <w:color w:val="303030"/>
                <w:sz w:val="18"/>
                <w:szCs w:val="18"/>
                <w:lang w:val="cs-CZ"/>
              </w:rPr>
              <w:t>335 pacientů (376 očí)</w:t>
            </w:r>
          </w:p>
        </w:tc>
        <w:tc>
          <w:tcPr>
            <w:tcW w:w="2693" w:type="dxa"/>
            <w:tcBorders>
              <w:bottom w:val="single" w:sz="6" w:space="0" w:color="DDE1EB"/>
            </w:tcBorders>
            <w:shd w:val="clear" w:color="auto" w:fill="FFFFFF"/>
            <w:hideMark/>
          </w:tcPr>
          <w:p w14:paraId="07A5E9CB" w14:textId="77777777" w:rsidR="004F136F" w:rsidRPr="00E10E87" w:rsidRDefault="004F136F" w:rsidP="004F136F">
            <w:pPr>
              <w:rPr>
                <w:rFonts w:ascii="Avenir Book" w:eastAsia="Times New Roman" w:hAnsi="Avenir Book" w:cs="Times New Roman"/>
                <w:color w:val="303030"/>
                <w:sz w:val="18"/>
                <w:szCs w:val="18"/>
                <w:lang w:val="cs-CZ"/>
              </w:rPr>
            </w:pPr>
            <w:r w:rsidRPr="00E10E87">
              <w:rPr>
                <w:rFonts w:ascii="Avenir Book" w:eastAsia="Times New Roman" w:hAnsi="Avenir Book" w:cs="Times New Roman"/>
                <w:color w:val="303030"/>
                <w:sz w:val="18"/>
                <w:szCs w:val="18"/>
                <w:lang w:val="cs-CZ"/>
              </w:rPr>
              <w:t>Faricimab zlepšil nebo udržel zrakovou ostrost a redukoval tekutinu na sítnici i u pacientů nereagujících na předchozí anti-VEGF; nízké riziko zánětů.</w:t>
            </w:r>
          </w:p>
        </w:tc>
      </w:tr>
      <w:tr w:rsidR="004F136F" w:rsidRPr="004F136F" w14:paraId="1062A291" w14:textId="77777777" w:rsidTr="004F136F">
        <w:tc>
          <w:tcPr>
            <w:tcW w:w="0" w:type="auto"/>
            <w:tcBorders>
              <w:bottom w:val="single" w:sz="6" w:space="0" w:color="DDE1EB"/>
            </w:tcBorders>
            <w:shd w:val="clear" w:color="auto" w:fill="FFFFFF"/>
            <w:hideMark/>
          </w:tcPr>
          <w:p w14:paraId="134EBF75" w14:textId="3BE71D09" w:rsidR="004F136F" w:rsidRPr="004F136F" w:rsidRDefault="004F136F" w:rsidP="004F136F">
            <w:pPr>
              <w:rPr>
                <w:rFonts w:ascii="Avenir Book" w:eastAsia="Times New Roman" w:hAnsi="Avenir Book" w:cs="Times New Roman"/>
                <w:color w:val="303030"/>
                <w:sz w:val="18"/>
                <w:szCs w:val="18"/>
                <w:lang w:val="cs-CZ"/>
              </w:rPr>
            </w:pPr>
            <w:r w:rsidRPr="004F136F">
              <w:rPr>
                <w:rFonts w:ascii="Avenir Book" w:eastAsia="Times New Roman" w:hAnsi="Avenir Book" w:cs="Times New Roman"/>
                <w:color w:val="303030"/>
                <w:sz w:val="18"/>
                <w:szCs w:val="18"/>
                <w:lang w:val="cs-CZ"/>
              </w:rPr>
              <w:t>Continuous Ranibizumab via Port Delivery System vs Monthly Ranibizumab for Treatment of Diabetic Macular Edema The Pagoda Randomized Clinical Trial (studie PAGODA)</w:t>
            </w:r>
            <w:r w:rsidR="00B64B5D">
              <w:rPr>
                <w:rFonts w:ascii="Avenir Book" w:eastAsia="Times New Roman" w:hAnsi="Avenir Book" w:cs="Times New Roman"/>
                <w:color w:val="303030"/>
                <w:sz w:val="18"/>
                <w:szCs w:val="18"/>
                <w:lang w:val="cs-CZ"/>
              </w:rPr>
              <w:t xml:space="preserve"> </w:t>
            </w:r>
            <w:r w:rsidR="00B64B5D">
              <w:rPr>
                <w:rFonts w:ascii="Avenir Book" w:eastAsia="Times New Roman" w:hAnsi="Avenir Book" w:cs="Times New Roman"/>
                <w:color w:val="303030"/>
                <w:sz w:val="18"/>
                <w:szCs w:val="18"/>
                <w:lang w:val="cs-CZ"/>
              </w:rPr>
              <w:fldChar w:fldCharType="begin" w:fldLock="1"/>
            </w:r>
            <w:r w:rsidR="00B64B5D">
              <w:rPr>
                <w:rFonts w:ascii="Avenir Book" w:eastAsia="Times New Roman" w:hAnsi="Avenir Book" w:cs="Times New Roman"/>
                <w:color w:val="303030"/>
                <w:sz w:val="18"/>
                <w:szCs w:val="18"/>
                <w:lang w:val="cs-CZ"/>
              </w:rPr>
              <w:instrText>ADDIN CSL_CITATION {"citationItems":[{"id":"ITEM-1","itemData":{"DOI":"10.1001/JAMAOPHTHALMOL.2025.0006","ISSN":"2168-6165","PMID":"40048197","abstract":"&lt;h3&gt;Importance&lt;/h3&gt;&lt;p&gt;Frequent visits and intravitreal anti–vascular endothelial growth factor (VEGF) injections are often required to manage diabetic macular edema (DME), burdening patients and their health care networks. The Port Delivery System (PDS) with ranibizumab is the first continuous anti-VEGF therapy that has the potential to reduce visit and treatment burden without sacrificing vision outcomes for patients with DME.&lt;/p&gt;&lt;h3&gt;Objective&lt;/h3&gt;&lt;p&gt;To evaluate the efficacy and safety through 64 weeks of ranibizumab, 100 mg/mL, via PDS with refill exchanges every 24 weeks (PDS Q24W) in patients with DME vs intravitreal injections of ranibizumab, 0.5 mg, every 4 weeks (monthly ranibizumab).&lt;/p&gt;&lt;h3&gt;Design, Setting, and Participants&lt;/h3&gt;&lt;p&gt;This randomized clinical trial was a phase 3, multicenter, noninferiority trial conducted across 87 sites in the US. Treatment-naïve patients at least 18 years old with center-involved DME were eligible for study participation. Enrollment was from September 30, 2019, to June 25, 2021; data were analyzed from September 30, 2019, to September 19, 2022.&lt;/p&gt;&lt;h3&gt;Intervention&lt;/h3&gt;&lt;p&gt;Participants were randomized 3:2 to receive 4 monthly doses of ranibizumab, 0.5 mg, followed by ranibizumab, 100 mg/mL, via PDS Q24W or monthly ranibizumab.&lt;/p&gt;&lt;h3&gt;Main Outcome and Measure&lt;/h3&gt;&lt;p&gt;The primary end point was change in best-corrected visual acuity (BCVA) from baseline averaged over weeks 60 and 64.&lt;/p&gt;&lt;h3&gt;Results&lt;/h3&gt;&lt;p&gt;A total of 634 participants were randomized (PDS Q24W group, n</w:instrText>
            </w:r>
            <w:r w:rsidR="00B64B5D">
              <w:rPr>
                <w:rFonts w:ascii="Times New Roman" w:eastAsia="Times New Roman" w:hAnsi="Times New Roman" w:cs="Times New Roman"/>
                <w:color w:val="303030"/>
                <w:sz w:val="18"/>
                <w:szCs w:val="18"/>
                <w:lang w:val="cs-CZ"/>
              </w:rPr>
              <w:instrText> </w:instrText>
            </w:r>
            <w:r w:rsidR="00B64B5D">
              <w:rPr>
                <w:rFonts w:ascii="Avenir Book" w:eastAsia="Times New Roman" w:hAnsi="Avenir Book" w:cs="Times New Roman"/>
                <w:color w:val="303030"/>
                <w:sz w:val="18"/>
                <w:szCs w:val="18"/>
                <w:lang w:val="cs-CZ"/>
              </w:rPr>
              <w:instrText>=</w:instrText>
            </w:r>
            <w:r w:rsidR="00B64B5D">
              <w:rPr>
                <w:rFonts w:ascii="Times New Roman" w:eastAsia="Times New Roman" w:hAnsi="Times New Roman" w:cs="Times New Roman"/>
                <w:color w:val="303030"/>
                <w:sz w:val="18"/>
                <w:szCs w:val="18"/>
                <w:lang w:val="cs-CZ"/>
              </w:rPr>
              <w:instrText> </w:instrText>
            </w:r>
            <w:r w:rsidR="00B64B5D">
              <w:rPr>
                <w:rFonts w:ascii="Avenir Book" w:eastAsia="Times New Roman" w:hAnsi="Avenir Book" w:cs="Times New Roman"/>
                <w:color w:val="303030"/>
                <w:sz w:val="18"/>
                <w:szCs w:val="18"/>
                <w:lang w:val="cs-CZ"/>
              </w:rPr>
              <w:instrText>381; monthly ranibizumab, n</w:instrText>
            </w:r>
            <w:r w:rsidR="00B64B5D">
              <w:rPr>
                <w:rFonts w:ascii="Times New Roman" w:eastAsia="Times New Roman" w:hAnsi="Times New Roman" w:cs="Times New Roman"/>
                <w:color w:val="303030"/>
                <w:sz w:val="18"/>
                <w:szCs w:val="18"/>
                <w:lang w:val="cs-CZ"/>
              </w:rPr>
              <w:instrText> </w:instrText>
            </w:r>
            <w:r w:rsidR="00B64B5D">
              <w:rPr>
                <w:rFonts w:ascii="Avenir Book" w:eastAsia="Times New Roman" w:hAnsi="Avenir Book" w:cs="Times New Roman"/>
                <w:color w:val="303030"/>
                <w:sz w:val="18"/>
                <w:szCs w:val="18"/>
                <w:lang w:val="cs-CZ"/>
              </w:rPr>
              <w:instrText>=</w:instrText>
            </w:r>
            <w:r w:rsidR="00B64B5D">
              <w:rPr>
                <w:rFonts w:ascii="Times New Roman" w:eastAsia="Times New Roman" w:hAnsi="Times New Roman" w:cs="Times New Roman"/>
                <w:color w:val="303030"/>
                <w:sz w:val="18"/>
                <w:szCs w:val="18"/>
                <w:lang w:val="cs-CZ"/>
              </w:rPr>
              <w:instrText> </w:instrText>
            </w:r>
            <w:r w:rsidR="00B64B5D">
              <w:rPr>
                <w:rFonts w:ascii="Avenir Book" w:eastAsia="Times New Roman" w:hAnsi="Avenir Book" w:cs="Times New Roman"/>
                <w:color w:val="303030"/>
                <w:sz w:val="18"/>
                <w:szCs w:val="18"/>
                <w:lang w:val="cs-CZ"/>
              </w:rPr>
              <w:instrText>253). The mean (SD) age at baseline was 60.7 (9.6) years; 363 (57.3%) participants were male and 271 (42.7%) female. Adjusted mean BCVA change from baseline averaged over weeks 60 and 64 was an increase of 9.6 letters for PDS Q24W and 9.4 letters for monthly ranibizumab (difference, 0.2; 95% CI, −1.2 to 1.6), meeting the primary end point of PDS noninferiority (margin, –4.5 letters). PDS Q24W participants had a mean (SD) decrease of 6.7 (12.0) letters 4 weeks after PDS insertion; mean BCVA was similar to monthly ranibizumab 16 weeks after implantation. Adverse events of special interest were more common in the PDS Q24W group (88 participants; 27.5%) than the monthly ranibizumab group (28 participants; 8.9%). No cases of endophthalmitis or retinal detachment were reported with PDS Q24W.&lt;/p&gt;&lt;h3&gt;Conclusions and Relevance&lt;/h3&gt;&lt;p&gt;This trial found that changes in BCVA from baseline averaged over weeks 60/64 in the PDS Q24W group w…","author":[{"dropping-particle":"","family":"Khanani","given":"Arshad M.","non-dropping-particle":"","parse-names":false,"suffix":""},{"dropping-particle":"","family":"Campochiaro","given":"Peter A.","non-dropping-particle":"","parse-names":false,"suffix":""},{"dropping-particle":"","family":"Graff","given":"Jordan M.","non-dropping-particle":"","parse-names":false,"suffix":""},{"dropping-particle":"","family":"Marcus","given":"Dennis M.","non-dropping-particle":"","parse-names":false,"suffix":""},{"dropping-particle":"","family":"Miller","given":"Daniel","non-dropping-particle":"","parse-names":false,"suffix":""},{"dropping-particle":"","family":"Mittra","given":"Robert A.","non-dropping-particle":"","parse-names":false,"suffix":""},{"dropping-particle":"","family":"Regillo","given":"Carl","non-dropping-particle":"","parse-names":false,"suffix":""},{"dropping-particle":"","family":"Sheth","given":"Veeral S.","non-dropping-particle":"","parse-names":false,"suffix":""},{"dropping-particle":"","family":"Bobbala","given":"Ashwini","non-dropping-particle":"","parse-names":false,"suffix":""},{"dropping-particle":"","family":"Gune","given":"Shamika","non-dropping-particle":"","parse-names":false,"suffix":""},{"dropping-particle":"","family":"Lin","given":"Stephanie","non-dropping-particle":"","parse-names":false,"suffix":""},{"dropping-particle":"","family":"Quezada-Ruiz","given":"Carlos","non-dropping-particle":"","parse-names":false,"suffix":""},{"dropping-particle":"","family":"Malhotra","given":"Varun","non-dropping-particle":"","parse-names":false,"suffix":""}],"container-title":"JAMA Ophthalmology","id":"ITEM-1","issue":"4","issued":{"date-parts":[["2025","4","1"]]},"page":"326-335","publisher":"American Medical Association","title":"Continuous Ranibizumab via Port Delivery System vs Monthly Ranibizumab for Treatment of Diabetic Macular Edema: The Pagoda Randomized Clinical Trial","type":"article-journal","volume":"143"},"uris":["http://www.mendeley.com/documents/?uuid=8128e666-cc26-3573-8522-3e1655177e6a"]}],"mendeley":{"formattedCitation":"[12]","plainTextFormattedCitation":"[12]","previouslyFormattedCitation":"[12]"},"properties":{"noteIndex":0},"schema":"https://github.com/citation-style-language/schema/raw/master/csl-citation.json"}</w:instrText>
            </w:r>
            <w:r w:rsidR="00B64B5D">
              <w:rPr>
                <w:rFonts w:ascii="Avenir Book" w:eastAsia="Times New Roman" w:hAnsi="Avenir Book" w:cs="Times New Roman"/>
                <w:color w:val="303030"/>
                <w:sz w:val="18"/>
                <w:szCs w:val="18"/>
                <w:lang w:val="cs-CZ"/>
              </w:rPr>
              <w:fldChar w:fldCharType="separate"/>
            </w:r>
            <w:r w:rsidR="00B64B5D" w:rsidRPr="00B64B5D">
              <w:rPr>
                <w:rFonts w:ascii="Avenir Book" w:eastAsia="Times New Roman" w:hAnsi="Avenir Book" w:cs="Times New Roman"/>
                <w:noProof/>
                <w:color w:val="303030"/>
                <w:sz w:val="18"/>
                <w:szCs w:val="18"/>
                <w:lang w:val="cs-CZ"/>
              </w:rPr>
              <w:t>[12]</w:t>
            </w:r>
            <w:r w:rsidR="00B64B5D">
              <w:rPr>
                <w:rFonts w:ascii="Avenir Book" w:eastAsia="Times New Roman" w:hAnsi="Avenir Book" w:cs="Times New Roman"/>
                <w:color w:val="303030"/>
                <w:sz w:val="18"/>
                <w:szCs w:val="18"/>
                <w:lang w:val="cs-CZ"/>
              </w:rPr>
              <w:fldChar w:fldCharType="end"/>
            </w:r>
          </w:p>
        </w:tc>
        <w:tc>
          <w:tcPr>
            <w:tcW w:w="0" w:type="auto"/>
            <w:tcBorders>
              <w:bottom w:val="single" w:sz="6" w:space="0" w:color="DDE1EB"/>
            </w:tcBorders>
            <w:shd w:val="clear" w:color="auto" w:fill="FFFFFF"/>
            <w:hideMark/>
          </w:tcPr>
          <w:p w14:paraId="4F13ABA4" w14:textId="77777777" w:rsidR="004F136F" w:rsidRPr="004F136F" w:rsidRDefault="004F136F" w:rsidP="004F136F">
            <w:pPr>
              <w:rPr>
                <w:rFonts w:ascii="Avenir Book" w:eastAsia="Times New Roman" w:hAnsi="Avenir Book" w:cs="Times New Roman"/>
                <w:color w:val="303030"/>
                <w:sz w:val="18"/>
                <w:szCs w:val="18"/>
                <w:lang w:val="cs-CZ"/>
              </w:rPr>
            </w:pPr>
            <w:r w:rsidRPr="004F136F">
              <w:rPr>
                <w:rFonts w:ascii="Avenir Book" w:eastAsia="Times New Roman" w:hAnsi="Avenir Book" w:cs="Times New Roman"/>
                <w:color w:val="303030"/>
                <w:sz w:val="18"/>
                <w:szCs w:val="18"/>
                <w:lang w:val="cs-CZ"/>
              </w:rPr>
              <w:t>Arshad M. Khanani et al.</w:t>
            </w:r>
          </w:p>
        </w:tc>
        <w:tc>
          <w:tcPr>
            <w:tcW w:w="0" w:type="auto"/>
            <w:tcBorders>
              <w:bottom w:val="single" w:sz="6" w:space="0" w:color="DDE1EB"/>
            </w:tcBorders>
            <w:shd w:val="clear" w:color="auto" w:fill="FFFFFF"/>
            <w:hideMark/>
          </w:tcPr>
          <w:p w14:paraId="40AC9F00" w14:textId="77777777" w:rsidR="004F136F" w:rsidRPr="004F136F" w:rsidRDefault="004F136F" w:rsidP="004F136F">
            <w:pPr>
              <w:rPr>
                <w:rFonts w:ascii="Avenir Book" w:eastAsia="Times New Roman" w:hAnsi="Avenir Book" w:cs="Times New Roman"/>
                <w:color w:val="303030"/>
                <w:sz w:val="18"/>
                <w:szCs w:val="18"/>
                <w:lang w:val="cs-CZ"/>
              </w:rPr>
            </w:pPr>
            <w:r w:rsidRPr="004F136F">
              <w:rPr>
                <w:rFonts w:ascii="Avenir Book" w:eastAsia="Times New Roman" w:hAnsi="Avenir Book" w:cs="Times New Roman"/>
                <w:color w:val="303030"/>
                <w:sz w:val="18"/>
                <w:szCs w:val="18"/>
                <w:lang w:val="cs-CZ"/>
              </w:rPr>
              <w:t>2025</w:t>
            </w:r>
          </w:p>
        </w:tc>
        <w:tc>
          <w:tcPr>
            <w:tcW w:w="1754" w:type="dxa"/>
            <w:tcBorders>
              <w:bottom w:val="single" w:sz="6" w:space="0" w:color="DDE1EB"/>
            </w:tcBorders>
            <w:shd w:val="clear" w:color="auto" w:fill="FFFFFF"/>
            <w:hideMark/>
          </w:tcPr>
          <w:p w14:paraId="395C9679" w14:textId="77777777" w:rsidR="004F136F" w:rsidRPr="004F136F" w:rsidRDefault="004F136F" w:rsidP="004F136F">
            <w:pPr>
              <w:rPr>
                <w:rFonts w:ascii="Avenir Book" w:eastAsia="Times New Roman" w:hAnsi="Avenir Book" w:cs="Times New Roman"/>
                <w:color w:val="303030"/>
                <w:sz w:val="18"/>
                <w:szCs w:val="18"/>
                <w:lang w:val="cs-CZ"/>
              </w:rPr>
            </w:pPr>
            <w:r w:rsidRPr="004F136F">
              <w:rPr>
                <w:rFonts w:ascii="Avenir Book" w:eastAsia="Times New Roman" w:hAnsi="Avenir Book" w:cs="Times New Roman"/>
                <w:color w:val="303030"/>
                <w:sz w:val="18"/>
                <w:szCs w:val="18"/>
                <w:lang w:val="cs-CZ"/>
              </w:rPr>
              <w:t>Fáze 3, multicentrická, randomizovaná studie</w:t>
            </w:r>
          </w:p>
        </w:tc>
        <w:tc>
          <w:tcPr>
            <w:tcW w:w="475" w:type="dxa"/>
            <w:tcBorders>
              <w:bottom w:val="single" w:sz="6" w:space="0" w:color="DDE1EB"/>
            </w:tcBorders>
            <w:shd w:val="clear" w:color="auto" w:fill="FFFFFF"/>
            <w:hideMark/>
          </w:tcPr>
          <w:p w14:paraId="300560C5" w14:textId="77777777" w:rsidR="004F136F" w:rsidRPr="004F136F" w:rsidRDefault="004F136F" w:rsidP="004F136F">
            <w:pPr>
              <w:rPr>
                <w:rFonts w:ascii="Avenir Book" w:eastAsia="Times New Roman" w:hAnsi="Avenir Book" w:cs="Times New Roman"/>
                <w:color w:val="303030"/>
                <w:sz w:val="18"/>
                <w:szCs w:val="18"/>
                <w:lang w:val="cs-CZ"/>
              </w:rPr>
            </w:pPr>
            <w:r w:rsidRPr="004F136F">
              <w:rPr>
                <w:rFonts w:ascii="Avenir Book" w:eastAsia="Times New Roman" w:hAnsi="Avenir Book" w:cs="Times New Roman"/>
                <w:color w:val="303030"/>
                <w:sz w:val="18"/>
                <w:szCs w:val="18"/>
                <w:lang w:val="cs-CZ"/>
              </w:rPr>
              <w:t>634</w:t>
            </w:r>
          </w:p>
        </w:tc>
        <w:tc>
          <w:tcPr>
            <w:tcW w:w="2693" w:type="dxa"/>
            <w:tcBorders>
              <w:bottom w:val="single" w:sz="6" w:space="0" w:color="DDE1EB"/>
            </w:tcBorders>
            <w:shd w:val="clear" w:color="auto" w:fill="FFFFFF"/>
            <w:hideMark/>
          </w:tcPr>
          <w:p w14:paraId="595E43FA" w14:textId="018B1FA2" w:rsidR="004F136F" w:rsidRPr="00E10E87" w:rsidRDefault="004F136F" w:rsidP="004F136F">
            <w:pPr>
              <w:rPr>
                <w:rFonts w:ascii="Avenir Book" w:eastAsia="Times New Roman" w:hAnsi="Avenir Book" w:cs="Times New Roman"/>
                <w:color w:val="303030"/>
                <w:sz w:val="18"/>
                <w:szCs w:val="18"/>
                <w:lang w:val="cs-CZ"/>
              </w:rPr>
            </w:pPr>
            <w:r w:rsidRPr="00E10E87">
              <w:rPr>
                <w:rFonts w:ascii="Avenir Book" w:eastAsia="Times New Roman" w:hAnsi="Avenir Book" w:cs="Times New Roman"/>
                <w:color w:val="303030"/>
                <w:sz w:val="18"/>
                <w:szCs w:val="18"/>
                <w:lang w:val="cs-CZ"/>
              </w:rPr>
              <w:t xml:space="preserve">Kontinuální podávání </w:t>
            </w:r>
            <w:r w:rsidR="00490948">
              <w:rPr>
                <w:rFonts w:ascii="Avenir Book" w:eastAsia="Times New Roman" w:hAnsi="Avenir Book" w:cs="Times New Roman"/>
                <w:color w:val="303030"/>
                <w:sz w:val="18"/>
                <w:szCs w:val="18"/>
                <w:lang w:val="cs-CZ"/>
              </w:rPr>
              <w:t>PDP</w:t>
            </w:r>
            <w:r w:rsidRPr="00E10E87">
              <w:rPr>
                <w:rFonts w:ascii="Avenir Book" w:eastAsia="Times New Roman" w:hAnsi="Avenir Book" w:cs="Times New Roman"/>
                <w:color w:val="303030"/>
                <w:sz w:val="18"/>
                <w:szCs w:val="18"/>
                <w:lang w:val="cs-CZ"/>
              </w:rPr>
              <w:t xml:space="preserve"> po 24 týdnech prokázalo noninferioritu oproti měsíční léčbě u diabetického makulárního edému bez výskytu endoftalmitidy.</w:t>
            </w:r>
          </w:p>
        </w:tc>
      </w:tr>
      <w:tr w:rsidR="004F136F" w:rsidRPr="004F136F" w14:paraId="44ED13AA" w14:textId="77777777" w:rsidTr="004F136F">
        <w:tc>
          <w:tcPr>
            <w:tcW w:w="0" w:type="auto"/>
            <w:tcBorders>
              <w:bottom w:val="single" w:sz="6" w:space="0" w:color="DDE1EB"/>
            </w:tcBorders>
            <w:shd w:val="clear" w:color="auto" w:fill="FFFFFF"/>
            <w:hideMark/>
          </w:tcPr>
          <w:p w14:paraId="2274D501" w14:textId="339B657F" w:rsidR="004F136F" w:rsidRPr="004F136F" w:rsidRDefault="004F136F" w:rsidP="004F136F">
            <w:pPr>
              <w:rPr>
                <w:rFonts w:ascii="Avenir Book" w:eastAsia="Times New Roman" w:hAnsi="Avenir Book" w:cs="Times New Roman"/>
                <w:color w:val="303030"/>
                <w:sz w:val="18"/>
                <w:szCs w:val="18"/>
                <w:lang w:val="cs-CZ"/>
              </w:rPr>
            </w:pPr>
            <w:r w:rsidRPr="004F136F">
              <w:rPr>
                <w:rFonts w:ascii="Avenir Book" w:eastAsia="Times New Roman" w:hAnsi="Avenir Book" w:cs="Times New Roman"/>
                <w:color w:val="303030"/>
                <w:sz w:val="18"/>
                <w:szCs w:val="18"/>
                <w:lang w:val="cs-CZ"/>
              </w:rPr>
              <w:t>Short-term real-world outcomes of switching to faricimab in anti-VEGF-refractory retinal vein occlusion: a prospective study</w:t>
            </w:r>
            <w:r w:rsidR="00B64B5D">
              <w:rPr>
                <w:rFonts w:ascii="Avenir Book" w:eastAsia="Times New Roman" w:hAnsi="Avenir Book" w:cs="Times New Roman"/>
                <w:color w:val="303030"/>
                <w:sz w:val="18"/>
                <w:szCs w:val="18"/>
                <w:lang w:val="cs-CZ"/>
              </w:rPr>
              <w:t xml:space="preserve"> </w:t>
            </w:r>
            <w:r w:rsidR="00B64B5D">
              <w:rPr>
                <w:rFonts w:ascii="Avenir Book" w:eastAsia="Times New Roman" w:hAnsi="Avenir Book" w:cs="Times New Roman"/>
                <w:color w:val="303030"/>
                <w:sz w:val="18"/>
                <w:szCs w:val="18"/>
                <w:lang w:val="cs-CZ"/>
              </w:rPr>
              <w:fldChar w:fldCharType="begin" w:fldLock="1"/>
            </w:r>
            <w:r w:rsidR="00B64B5D">
              <w:rPr>
                <w:rFonts w:ascii="Avenir Book" w:eastAsia="Times New Roman" w:hAnsi="Avenir Book" w:cs="Times New Roman"/>
                <w:color w:val="303030"/>
                <w:sz w:val="18"/>
                <w:szCs w:val="18"/>
                <w:lang w:val="cs-CZ"/>
              </w:rPr>
              <w:instrText>ADDIN CSL_CITATION {"citationItems":[{"id":"ITEM-1","itemData":{"DOI":"10.1186/S12886-026-04695-Y","ISSN":"1471-2415","PMID":"41761115","author":[{"dropping-particle":"","family":"Kilani","given":"Adnan","non-dropping-particle":"","parse-names":false,"suffix":""},{"dropping-particle":"","family":"Assaf","given":"Abdelrahman","non-dropping-particle":"","parse-names":false,"suffix":""},{"dropping-particle":"","family":"Vogt","given":"Denise","non-dropping-particle":"","parse-names":false,"suffix":""},{"dropping-particle":"","family":"Vounotrypidis","given":"Efstathios","non-dropping-particle":"","parse-names":false,"suffix":""},{"dropping-particle":"","family":"Parlak","given":"Melih","non-dropping-particle":"","parse-names":false,"suffix":""},{"dropping-particle":"","family":"Jochem","given":"Constantin","non-dropping-particle":"","parse-names":false,"suffix":""},{"dropping-particle":"","family":"Wolf","given":"Armin","non-dropping-particle":"","parse-names":false,"suffix":""}],"container-title":"BMC ophthalmology","id":"ITEM-1","issue":"1","issued":{"date-parts":[["2026","12","1"]]},"publisher":"BMC Ophthalmol","title":"Short-term real-world outcomes of switching to faricimab in anti-VEGF-refractory retinal vein occlusion: a prospective study","type":"article-journal","volume":"26"},"uris":["http://www.mendeley.com/documents/?uuid=eeec8f15-a65e-3e8b-94db-11932a8011e9"]}],"mendeley":{"formattedCitation":"[16]","plainTextFormattedCitation":"[16]","previouslyFormattedCitation":"[16]"},"properties":{"noteIndex":0},"schema":"https://github.com/citation-style-language/schema/raw/master/csl-citation.json"}</w:instrText>
            </w:r>
            <w:r w:rsidR="00B64B5D">
              <w:rPr>
                <w:rFonts w:ascii="Avenir Book" w:eastAsia="Times New Roman" w:hAnsi="Avenir Book" w:cs="Times New Roman"/>
                <w:color w:val="303030"/>
                <w:sz w:val="18"/>
                <w:szCs w:val="18"/>
                <w:lang w:val="cs-CZ"/>
              </w:rPr>
              <w:fldChar w:fldCharType="separate"/>
            </w:r>
            <w:r w:rsidR="00B64B5D" w:rsidRPr="00B64B5D">
              <w:rPr>
                <w:rFonts w:ascii="Avenir Book" w:eastAsia="Times New Roman" w:hAnsi="Avenir Book" w:cs="Times New Roman"/>
                <w:noProof/>
                <w:color w:val="303030"/>
                <w:sz w:val="18"/>
                <w:szCs w:val="18"/>
                <w:lang w:val="cs-CZ"/>
              </w:rPr>
              <w:t>[16]</w:t>
            </w:r>
            <w:r w:rsidR="00B64B5D">
              <w:rPr>
                <w:rFonts w:ascii="Avenir Book" w:eastAsia="Times New Roman" w:hAnsi="Avenir Book" w:cs="Times New Roman"/>
                <w:color w:val="303030"/>
                <w:sz w:val="18"/>
                <w:szCs w:val="18"/>
                <w:lang w:val="cs-CZ"/>
              </w:rPr>
              <w:fldChar w:fldCharType="end"/>
            </w:r>
          </w:p>
        </w:tc>
        <w:tc>
          <w:tcPr>
            <w:tcW w:w="0" w:type="auto"/>
            <w:tcBorders>
              <w:bottom w:val="single" w:sz="6" w:space="0" w:color="DDE1EB"/>
            </w:tcBorders>
            <w:shd w:val="clear" w:color="auto" w:fill="FFFFFF"/>
            <w:hideMark/>
          </w:tcPr>
          <w:p w14:paraId="771C3C1C" w14:textId="77777777" w:rsidR="004F136F" w:rsidRPr="004F136F" w:rsidRDefault="004F136F" w:rsidP="004F136F">
            <w:pPr>
              <w:rPr>
                <w:rFonts w:ascii="Avenir Book" w:eastAsia="Times New Roman" w:hAnsi="Avenir Book" w:cs="Times New Roman"/>
                <w:color w:val="303030"/>
                <w:sz w:val="18"/>
                <w:szCs w:val="18"/>
                <w:lang w:val="cs-CZ"/>
              </w:rPr>
            </w:pPr>
            <w:r w:rsidRPr="004F136F">
              <w:rPr>
                <w:rFonts w:ascii="Avenir Book" w:eastAsia="Times New Roman" w:hAnsi="Avenir Book" w:cs="Times New Roman"/>
                <w:color w:val="303030"/>
                <w:sz w:val="18"/>
                <w:szCs w:val="18"/>
                <w:lang w:val="cs-CZ"/>
              </w:rPr>
              <w:t>Adnan Kilani et al.</w:t>
            </w:r>
          </w:p>
        </w:tc>
        <w:tc>
          <w:tcPr>
            <w:tcW w:w="0" w:type="auto"/>
            <w:tcBorders>
              <w:bottom w:val="single" w:sz="6" w:space="0" w:color="DDE1EB"/>
            </w:tcBorders>
            <w:shd w:val="clear" w:color="auto" w:fill="FFFFFF"/>
            <w:hideMark/>
          </w:tcPr>
          <w:p w14:paraId="113AF995" w14:textId="77777777" w:rsidR="004F136F" w:rsidRPr="004F136F" w:rsidRDefault="004F136F" w:rsidP="004F136F">
            <w:pPr>
              <w:rPr>
                <w:rFonts w:ascii="Avenir Book" w:eastAsia="Times New Roman" w:hAnsi="Avenir Book" w:cs="Times New Roman"/>
                <w:color w:val="303030"/>
                <w:sz w:val="18"/>
                <w:szCs w:val="18"/>
                <w:lang w:val="cs-CZ"/>
              </w:rPr>
            </w:pPr>
            <w:r w:rsidRPr="004F136F">
              <w:rPr>
                <w:rFonts w:ascii="Avenir Book" w:eastAsia="Times New Roman" w:hAnsi="Avenir Book" w:cs="Times New Roman"/>
                <w:color w:val="303030"/>
                <w:sz w:val="18"/>
                <w:szCs w:val="18"/>
                <w:lang w:val="cs-CZ"/>
              </w:rPr>
              <w:t>2026</w:t>
            </w:r>
          </w:p>
        </w:tc>
        <w:tc>
          <w:tcPr>
            <w:tcW w:w="1754" w:type="dxa"/>
            <w:tcBorders>
              <w:bottom w:val="single" w:sz="6" w:space="0" w:color="DDE1EB"/>
            </w:tcBorders>
            <w:shd w:val="clear" w:color="auto" w:fill="FFFFFF"/>
            <w:hideMark/>
          </w:tcPr>
          <w:p w14:paraId="1E8582E7" w14:textId="77777777" w:rsidR="004F136F" w:rsidRPr="004F136F" w:rsidRDefault="004F136F" w:rsidP="004F136F">
            <w:pPr>
              <w:rPr>
                <w:rFonts w:ascii="Avenir Book" w:eastAsia="Times New Roman" w:hAnsi="Avenir Book" w:cs="Times New Roman"/>
                <w:color w:val="303030"/>
                <w:sz w:val="18"/>
                <w:szCs w:val="18"/>
                <w:lang w:val="cs-CZ"/>
              </w:rPr>
            </w:pPr>
            <w:r w:rsidRPr="004F136F">
              <w:rPr>
                <w:rFonts w:ascii="Avenir Book" w:eastAsia="Times New Roman" w:hAnsi="Avenir Book" w:cs="Times New Roman"/>
                <w:color w:val="303030"/>
                <w:sz w:val="18"/>
                <w:szCs w:val="18"/>
                <w:lang w:val="cs-CZ"/>
              </w:rPr>
              <w:t>Prospektivní monocentrická observační studie</w:t>
            </w:r>
          </w:p>
        </w:tc>
        <w:tc>
          <w:tcPr>
            <w:tcW w:w="475" w:type="dxa"/>
            <w:tcBorders>
              <w:bottom w:val="single" w:sz="6" w:space="0" w:color="DDE1EB"/>
            </w:tcBorders>
            <w:shd w:val="clear" w:color="auto" w:fill="FFFFFF"/>
            <w:hideMark/>
          </w:tcPr>
          <w:p w14:paraId="02FB8D1F" w14:textId="77777777" w:rsidR="004F136F" w:rsidRPr="004F136F" w:rsidRDefault="004F136F" w:rsidP="004F136F">
            <w:pPr>
              <w:rPr>
                <w:rFonts w:ascii="Avenir Book" w:eastAsia="Times New Roman" w:hAnsi="Avenir Book" w:cs="Times New Roman"/>
                <w:color w:val="303030"/>
                <w:sz w:val="18"/>
                <w:szCs w:val="18"/>
                <w:lang w:val="cs-CZ"/>
              </w:rPr>
            </w:pPr>
            <w:r w:rsidRPr="004F136F">
              <w:rPr>
                <w:rFonts w:ascii="Avenir Book" w:eastAsia="Times New Roman" w:hAnsi="Avenir Book" w:cs="Times New Roman"/>
                <w:color w:val="303030"/>
                <w:sz w:val="18"/>
                <w:szCs w:val="18"/>
                <w:lang w:val="cs-CZ"/>
              </w:rPr>
              <w:t>27</w:t>
            </w:r>
          </w:p>
        </w:tc>
        <w:tc>
          <w:tcPr>
            <w:tcW w:w="2693" w:type="dxa"/>
            <w:tcBorders>
              <w:bottom w:val="single" w:sz="6" w:space="0" w:color="DDE1EB"/>
            </w:tcBorders>
            <w:shd w:val="clear" w:color="auto" w:fill="FFFFFF"/>
            <w:hideMark/>
          </w:tcPr>
          <w:p w14:paraId="07619064" w14:textId="77777777" w:rsidR="004F136F" w:rsidRPr="00E10E87" w:rsidRDefault="004F136F" w:rsidP="004F136F">
            <w:pPr>
              <w:rPr>
                <w:rFonts w:ascii="Avenir Book" w:eastAsia="Times New Roman" w:hAnsi="Avenir Book" w:cs="Times New Roman"/>
                <w:color w:val="303030"/>
                <w:sz w:val="18"/>
                <w:szCs w:val="18"/>
                <w:lang w:val="cs-CZ"/>
              </w:rPr>
            </w:pPr>
            <w:r w:rsidRPr="00E10E87">
              <w:rPr>
                <w:rFonts w:ascii="Avenir Book" w:eastAsia="Times New Roman" w:hAnsi="Avenir Book" w:cs="Times New Roman"/>
                <w:color w:val="303030"/>
                <w:sz w:val="18"/>
                <w:szCs w:val="18"/>
                <w:lang w:val="cs-CZ"/>
              </w:rPr>
              <w:t>Změna léčby na faricimab u refrakterních forem okluze žíly (RVO) vede k anatomickému zlepšení a umožňuje prodloužení intervalů léčby pomocí Treat-and-Extend režimu.</w:t>
            </w:r>
          </w:p>
        </w:tc>
      </w:tr>
      <w:tr w:rsidR="004F136F" w:rsidRPr="004F136F" w14:paraId="77444766" w14:textId="77777777" w:rsidTr="004F136F">
        <w:tc>
          <w:tcPr>
            <w:tcW w:w="0" w:type="auto"/>
            <w:tcBorders>
              <w:bottom w:val="single" w:sz="6" w:space="0" w:color="DDE1EB"/>
            </w:tcBorders>
            <w:shd w:val="clear" w:color="auto" w:fill="FFFFFF"/>
            <w:hideMark/>
          </w:tcPr>
          <w:p w14:paraId="77CC34EC" w14:textId="0A8CC9CB" w:rsidR="004F136F" w:rsidRPr="004F136F" w:rsidRDefault="004F136F" w:rsidP="004F136F">
            <w:pPr>
              <w:rPr>
                <w:rFonts w:ascii="Avenir Book" w:eastAsia="Times New Roman" w:hAnsi="Avenir Book" w:cs="Times New Roman"/>
                <w:color w:val="303030"/>
                <w:sz w:val="18"/>
                <w:szCs w:val="18"/>
                <w:lang w:val="cs-CZ"/>
              </w:rPr>
            </w:pPr>
            <w:r w:rsidRPr="004F136F">
              <w:rPr>
                <w:rFonts w:ascii="Avenir Book" w:eastAsia="Times New Roman" w:hAnsi="Avenir Book" w:cs="Times New Roman"/>
                <w:color w:val="303030"/>
                <w:sz w:val="18"/>
                <w:szCs w:val="18"/>
                <w:lang w:val="cs-CZ"/>
              </w:rPr>
              <w:t xml:space="preserve">Reducing Treatment Burden for Age-Related Macular Degeneration Patients: A Systematic Review of Ranibizumab Port Delivery </w:t>
            </w:r>
            <w:r w:rsidR="00B64B5D">
              <w:rPr>
                <w:rFonts w:ascii="Avenir Book" w:eastAsia="Times New Roman" w:hAnsi="Avenir Book" w:cs="Times New Roman"/>
                <w:color w:val="303030"/>
                <w:sz w:val="18"/>
                <w:szCs w:val="18"/>
                <w:lang w:val="cs-CZ"/>
              </w:rPr>
              <w:t xml:space="preserve">System </w:t>
            </w:r>
            <w:r w:rsidR="00B64B5D">
              <w:rPr>
                <w:rFonts w:ascii="Avenir Book" w:eastAsia="Times New Roman" w:hAnsi="Avenir Book" w:cs="Times New Roman"/>
                <w:color w:val="303030"/>
                <w:sz w:val="18"/>
                <w:szCs w:val="18"/>
                <w:lang w:val="cs-CZ"/>
              </w:rPr>
              <w:fldChar w:fldCharType="begin" w:fldLock="1"/>
            </w:r>
            <w:r w:rsidR="00B64B5D">
              <w:rPr>
                <w:rFonts w:ascii="Avenir Book" w:eastAsia="Times New Roman" w:hAnsi="Avenir Book" w:cs="Times New Roman"/>
                <w:color w:val="303030"/>
                <w:sz w:val="18"/>
                <w:szCs w:val="18"/>
                <w:lang w:val="cs-CZ"/>
              </w:rPr>
              <w:instrText>ADDIN CSL_CITATION {"citationItems":[{"id":"ITEM-1","itemData":{"DOI":"10.35749/V8VMP587","ISSN":"2460-545X","abstract":"Introduction &amp;amp; ObjectivesRanibizumab port delivery system (PDS) is a newly developed method that provides a continuous,long-term supply of ranibizumab into the vitreous, reducing the burden of monthly intravitrealinjection visits for neovascular age-related macular degeneration (nAMD) patients. This review aimsto evaluate the efficacy and safety of ranibizumab PDS in nAMD.\nMethodsAn extensive literature search was performed on 4 online databases: PubMed, Cochrane, ProQuest,and ScienceDirect. The inclusion criteria are human studies comparing ranibizumab port deliverysystem and intravitreal ranibizumab, English language, with full-text journal available. The mainoutcome measurements are best-corrected visual acuity (BCVA) in Early Treatment DiabeticRetinopathy Study (ETDRS) letters, central foveal thickness (CFT), and adverse events.\nResultsTwo randomized controlled trials (RCTs) with a total of 638 adults were evaluated. At week 96,ranibizumab PDS reported observed mean BCVA changes from baseline (-1.0; +4.2; ETDRS letters)compared to monthly intravitreal ranibizumab (-1.1; +6.1; ETDRS letters). However, there was anincrease in mean CFT changes from baseline (+9.9; +22.3 vs ?1.3; ?35.8, ?m) and severe adverseevents frequency (22; 4 vs 4; 0) with ranibizumab PDS versus monthly intravitreal ranibizumab,respectively.\nConclusionRanibizumab PDS showed comparable visual outcomes to intravitreal ranibizumab whiledemonstrating inferior anatomical outcomes and higher incidence of severe adverse effects. Despitethis, with fewer treatment visits required for up to 24 weeks, ranibizumab PDS can potentiallyreduce the treatment burden in nAMD patients with poor compliance. Further studies are needed toprovide better patient eligibility guidelines and recommendations for adverse event management ofranibizumab PDS.","author":[{"dropping-particle":"","family":"Paramitha","given":"Dewa Ayu Anggi","non-dropping-particle":"","parse-names":false,"suffix":""},{"dropping-particle":"","family":"Putri","given":"Ajeng Kartika Ayu","non-dropping-particle":"","parse-names":false,"suffix":""},{"dropping-particle":"","family":"Ardhia","given":"Seruni Hanna","non-dropping-particle":"","parse-names":false,"suffix":""},{"dropping-particle":"","family":"Jutamulia","given":"Jovita","non-dropping-particle":"","parse-names":false,"suffix":""}],"container-title":"Ophthalmologica Indonesiana","id":"ITEM-1","issue":"S2","issued":{"date-parts":[["2023","2","12"]]},"publisher":"Pesatuan Dokter Spesialis Mata Indonesia","title":"Reducing Treatment Burden for Age-Related Macular Degeneration Patients: A Systematic Review of Ranibizumab Port Delivery System: Oral Presentation - Observational Study - General practitioner","type":"article-journal","volume":"49"},"uris":["http://www.mendeley.com/documents/?uuid=151f1bd1-f92d-3798-8baf-1010eb034767"]}],"mendeley":{"formattedCitation":"[13]","plainTextFormattedCitation":"[13]","previouslyFormattedCitation":"[13]"},"properties":{"noteIndex":0},"schema":"https://github.com/citation-style-language/schema/raw/master/csl-citation.json"}</w:instrText>
            </w:r>
            <w:r w:rsidR="00B64B5D">
              <w:rPr>
                <w:rFonts w:ascii="Avenir Book" w:eastAsia="Times New Roman" w:hAnsi="Avenir Book" w:cs="Times New Roman"/>
                <w:color w:val="303030"/>
                <w:sz w:val="18"/>
                <w:szCs w:val="18"/>
                <w:lang w:val="cs-CZ"/>
              </w:rPr>
              <w:fldChar w:fldCharType="separate"/>
            </w:r>
            <w:r w:rsidR="00B64B5D" w:rsidRPr="00B64B5D">
              <w:rPr>
                <w:rFonts w:ascii="Avenir Book" w:eastAsia="Times New Roman" w:hAnsi="Avenir Book" w:cs="Times New Roman"/>
                <w:noProof/>
                <w:color w:val="303030"/>
                <w:sz w:val="18"/>
                <w:szCs w:val="18"/>
                <w:lang w:val="cs-CZ"/>
              </w:rPr>
              <w:t>[13]</w:t>
            </w:r>
            <w:r w:rsidR="00B64B5D">
              <w:rPr>
                <w:rFonts w:ascii="Avenir Book" w:eastAsia="Times New Roman" w:hAnsi="Avenir Book" w:cs="Times New Roman"/>
                <w:color w:val="303030"/>
                <w:sz w:val="18"/>
                <w:szCs w:val="18"/>
                <w:lang w:val="cs-CZ"/>
              </w:rPr>
              <w:fldChar w:fldCharType="end"/>
            </w:r>
          </w:p>
        </w:tc>
        <w:tc>
          <w:tcPr>
            <w:tcW w:w="0" w:type="auto"/>
            <w:tcBorders>
              <w:bottom w:val="single" w:sz="6" w:space="0" w:color="DDE1EB"/>
            </w:tcBorders>
            <w:shd w:val="clear" w:color="auto" w:fill="FFFFFF"/>
            <w:hideMark/>
          </w:tcPr>
          <w:p w14:paraId="70174B9A" w14:textId="77777777" w:rsidR="004F136F" w:rsidRPr="004F136F" w:rsidRDefault="004F136F" w:rsidP="004F136F">
            <w:pPr>
              <w:rPr>
                <w:rFonts w:ascii="Avenir Book" w:eastAsia="Times New Roman" w:hAnsi="Avenir Book" w:cs="Times New Roman"/>
                <w:color w:val="303030"/>
                <w:sz w:val="18"/>
                <w:szCs w:val="18"/>
                <w:lang w:val="cs-CZ"/>
              </w:rPr>
            </w:pPr>
            <w:r w:rsidRPr="004F136F">
              <w:rPr>
                <w:rFonts w:ascii="Avenir Book" w:eastAsia="Times New Roman" w:hAnsi="Avenir Book" w:cs="Times New Roman"/>
                <w:color w:val="303030"/>
                <w:sz w:val="18"/>
                <w:szCs w:val="18"/>
                <w:lang w:val="cs-CZ"/>
              </w:rPr>
              <w:t>Dewa Ayu Anggi Paramitha et al.</w:t>
            </w:r>
          </w:p>
        </w:tc>
        <w:tc>
          <w:tcPr>
            <w:tcW w:w="0" w:type="auto"/>
            <w:tcBorders>
              <w:bottom w:val="single" w:sz="6" w:space="0" w:color="DDE1EB"/>
            </w:tcBorders>
            <w:shd w:val="clear" w:color="auto" w:fill="FFFFFF"/>
            <w:hideMark/>
          </w:tcPr>
          <w:p w14:paraId="48BC352D" w14:textId="77777777" w:rsidR="004F136F" w:rsidRPr="004F136F" w:rsidRDefault="004F136F" w:rsidP="004F136F">
            <w:pPr>
              <w:rPr>
                <w:rFonts w:ascii="Avenir Book" w:eastAsia="Times New Roman" w:hAnsi="Avenir Book" w:cs="Times New Roman"/>
                <w:color w:val="303030"/>
                <w:sz w:val="18"/>
                <w:szCs w:val="18"/>
                <w:lang w:val="cs-CZ"/>
              </w:rPr>
            </w:pPr>
            <w:r w:rsidRPr="004F136F">
              <w:rPr>
                <w:rFonts w:ascii="Avenir Book" w:eastAsia="Times New Roman" w:hAnsi="Avenir Book" w:cs="Times New Roman"/>
                <w:color w:val="303030"/>
                <w:sz w:val="18"/>
                <w:szCs w:val="18"/>
                <w:lang w:val="cs-CZ"/>
              </w:rPr>
              <w:t>2023</w:t>
            </w:r>
          </w:p>
        </w:tc>
        <w:tc>
          <w:tcPr>
            <w:tcW w:w="1754" w:type="dxa"/>
            <w:tcBorders>
              <w:bottom w:val="single" w:sz="6" w:space="0" w:color="DDE1EB"/>
            </w:tcBorders>
            <w:shd w:val="clear" w:color="auto" w:fill="FFFFFF"/>
            <w:hideMark/>
          </w:tcPr>
          <w:p w14:paraId="7750DE47" w14:textId="77777777" w:rsidR="004F136F" w:rsidRPr="004F136F" w:rsidRDefault="004F136F" w:rsidP="004F136F">
            <w:pPr>
              <w:rPr>
                <w:rFonts w:ascii="Avenir Book" w:eastAsia="Times New Roman" w:hAnsi="Avenir Book" w:cs="Times New Roman"/>
                <w:color w:val="303030"/>
                <w:sz w:val="18"/>
                <w:szCs w:val="18"/>
                <w:lang w:val="cs-CZ"/>
              </w:rPr>
            </w:pPr>
            <w:r w:rsidRPr="004F136F">
              <w:rPr>
                <w:rFonts w:ascii="Avenir Book" w:eastAsia="Times New Roman" w:hAnsi="Avenir Book" w:cs="Times New Roman"/>
                <w:color w:val="303030"/>
                <w:sz w:val="18"/>
                <w:szCs w:val="18"/>
                <w:lang w:val="cs-CZ"/>
              </w:rPr>
              <w:t>Systematický přehled literatury</w:t>
            </w:r>
          </w:p>
        </w:tc>
        <w:tc>
          <w:tcPr>
            <w:tcW w:w="475" w:type="dxa"/>
            <w:tcBorders>
              <w:bottom w:val="single" w:sz="6" w:space="0" w:color="DDE1EB"/>
            </w:tcBorders>
            <w:shd w:val="clear" w:color="auto" w:fill="FFFFFF"/>
            <w:hideMark/>
          </w:tcPr>
          <w:p w14:paraId="746C4F50" w14:textId="77777777" w:rsidR="004F136F" w:rsidRPr="004F136F" w:rsidRDefault="004F136F" w:rsidP="004F136F">
            <w:pPr>
              <w:rPr>
                <w:rFonts w:ascii="Avenir Book" w:eastAsia="Times New Roman" w:hAnsi="Avenir Book" w:cs="Times New Roman"/>
                <w:color w:val="303030"/>
                <w:sz w:val="18"/>
                <w:szCs w:val="18"/>
                <w:lang w:val="cs-CZ"/>
              </w:rPr>
            </w:pPr>
            <w:r w:rsidRPr="004F136F">
              <w:rPr>
                <w:rFonts w:ascii="Avenir Book" w:eastAsia="Times New Roman" w:hAnsi="Avenir Book" w:cs="Times New Roman"/>
                <w:color w:val="303030"/>
                <w:sz w:val="18"/>
                <w:szCs w:val="18"/>
                <w:lang w:val="cs-CZ"/>
              </w:rPr>
              <w:t>635 (z 2 studií)</w:t>
            </w:r>
          </w:p>
        </w:tc>
        <w:tc>
          <w:tcPr>
            <w:tcW w:w="2693" w:type="dxa"/>
            <w:tcBorders>
              <w:bottom w:val="single" w:sz="6" w:space="0" w:color="DDE1EB"/>
            </w:tcBorders>
            <w:shd w:val="clear" w:color="auto" w:fill="FFFFFF"/>
            <w:hideMark/>
          </w:tcPr>
          <w:p w14:paraId="7A2BA420" w14:textId="7FE286C8" w:rsidR="004F136F" w:rsidRPr="00E10E87" w:rsidRDefault="00490948" w:rsidP="004F136F">
            <w:pPr>
              <w:rPr>
                <w:rFonts w:ascii="Avenir Book" w:eastAsia="Times New Roman" w:hAnsi="Avenir Book" w:cs="Times New Roman"/>
                <w:color w:val="303030"/>
                <w:sz w:val="18"/>
                <w:szCs w:val="18"/>
                <w:lang w:val="cs-CZ"/>
              </w:rPr>
            </w:pPr>
            <w:r>
              <w:rPr>
                <w:rFonts w:ascii="Avenir Book" w:eastAsia="Times New Roman" w:hAnsi="Avenir Book" w:cs="Times New Roman"/>
                <w:color w:val="303030"/>
                <w:sz w:val="18"/>
                <w:szCs w:val="18"/>
                <w:lang w:val="cs-CZ"/>
              </w:rPr>
              <w:t>PDP</w:t>
            </w:r>
            <w:r w:rsidR="004F136F" w:rsidRPr="00E10E87">
              <w:rPr>
                <w:rFonts w:ascii="Avenir Book" w:eastAsia="Times New Roman" w:hAnsi="Avenir Book" w:cs="Times New Roman"/>
                <w:color w:val="303030"/>
                <w:sz w:val="18"/>
                <w:szCs w:val="18"/>
                <w:lang w:val="cs-CZ"/>
              </w:rPr>
              <w:t xml:space="preserve"> vykazuje srovnatelné zrakové výsledky s injekcemi, ale přináší o něco vyšší riziko závažných nežádoucích účinků souvisejících s chirurgickým zákrokem.</w:t>
            </w:r>
          </w:p>
        </w:tc>
      </w:tr>
      <w:tr w:rsidR="004F136F" w:rsidRPr="004F136F" w14:paraId="5D71B3BD" w14:textId="77777777" w:rsidTr="004F136F">
        <w:tc>
          <w:tcPr>
            <w:tcW w:w="0" w:type="auto"/>
            <w:tcBorders>
              <w:bottom w:val="single" w:sz="6" w:space="0" w:color="DDE1EB"/>
            </w:tcBorders>
            <w:shd w:val="clear" w:color="auto" w:fill="FFFFFF"/>
            <w:hideMark/>
          </w:tcPr>
          <w:p w14:paraId="2AC755EB" w14:textId="798050D3" w:rsidR="004F136F" w:rsidRPr="004F136F" w:rsidRDefault="004F136F" w:rsidP="004F136F">
            <w:pPr>
              <w:rPr>
                <w:rFonts w:ascii="Avenir Book" w:eastAsia="Times New Roman" w:hAnsi="Avenir Book" w:cs="Times New Roman"/>
                <w:color w:val="303030"/>
                <w:sz w:val="18"/>
                <w:szCs w:val="18"/>
                <w:lang w:val="cs-CZ"/>
              </w:rPr>
            </w:pPr>
            <w:r w:rsidRPr="004F136F">
              <w:rPr>
                <w:rFonts w:ascii="Avenir Book" w:eastAsia="Times New Roman" w:hAnsi="Avenir Book" w:cs="Times New Roman"/>
                <w:color w:val="303030"/>
                <w:sz w:val="18"/>
                <w:szCs w:val="18"/>
                <w:lang w:val="cs-CZ"/>
              </w:rPr>
              <w:t xml:space="preserve">The burden of </w:t>
            </w:r>
            <w:r w:rsidR="00B64B5D">
              <w:rPr>
                <w:rFonts w:ascii="Avenir Book" w:eastAsia="Times New Roman" w:hAnsi="Avenir Book" w:cs="Times New Roman"/>
                <w:color w:val="303030"/>
                <w:sz w:val="18"/>
                <w:szCs w:val="18"/>
                <w:lang w:val="cs-CZ"/>
              </w:rPr>
              <w:t xml:space="preserve"> </w:t>
            </w:r>
            <w:r w:rsidRPr="004F136F">
              <w:rPr>
                <w:rFonts w:ascii="Avenir Book" w:eastAsia="Times New Roman" w:hAnsi="Avenir Book" w:cs="Times New Roman"/>
                <w:color w:val="303030"/>
                <w:sz w:val="18"/>
                <w:szCs w:val="18"/>
                <w:lang w:val="cs-CZ"/>
              </w:rPr>
              <w:t>neovascular age-related macular degeneration: a patient’s perspective</w:t>
            </w:r>
            <w:r w:rsidR="00B64B5D">
              <w:rPr>
                <w:rFonts w:ascii="Avenir Book" w:eastAsia="Times New Roman" w:hAnsi="Avenir Book" w:cs="Times New Roman"/>
                <w:color w:val="303030"/>
                <w:sz w:val="18"/>
                <w:szCs w:val="18"/>
                <w:lang w:val="cs-CZ"/>
              </w:rPr>
              <w:t xml:space="preserve"> </w:t>
            </w:r>
            <w:r w:rsidR="00B64B5D">
              <w:rPr>
                <w:rFonts w:ascii="Avenir Book" w:eastAsia="Times New Roman" w:hAnsi="Avenir Book" w:cs="Times New Roman"/>
                <w:color w:val="303030"/>
                <w:sz w:val="18"/>
                <w:szCs w:val="18"/>
                <w:lang w:val="cs-CZ"/>
              </w:rPr>
              <w:fldChar w:fldCharType="begin" w:fldLock="1"/>
            </w:r>
            <w:r w:rsidR="00B64B5D">
              <w:rPr>
                <w:rFonts w:ascii="Avenir Book" w:eastAsia="Times New Roman" w:hAnsi="Avenir Book" w:cs="Times New Roman"/>
                <w:color w:val="303030"/>
                <w:sz w:val="18"/>
                <w:szCs w:val="18"/>
                <w:lang w:val="cs-CZ"/>
              </w:rPr>
              <w:instrText>ADDIN CSL_CITATION {"citationItems":[{"id":"ITEM-1","itemData":{"DOI":"10.2147/OPTH.S185052","ISSN":"1177-5467","PMID":"30584267","abstract":"Purpose: To quantify the burden and quality of life of patients and their caregivers in a cohort of patients with neovascular age-related macular degeneration (nAMD) in an Australian clinical setting. Methods: A total of 103 patients undergoing anti-vascular endothelial growth factor (VEGF) therapy for nAMD were asked to complete questionnaires relating to the financial and time burdens of nAMD. Results: All patients completed the questionnaires. Loss in productivity due to attendance of appointments was 4.4±1.7 hours per month, with additional time lost by caregivers. Financial strain was incurred by direct medical costs associated with intravitreal assessment and injections at an average of AU$199.2±$83.1 per month. Indirect costs incurred averaged $64.8±$79.7 per month. Qualitative indirect costs due to loss of productivity for the patient, unpaid caregivers, and loss of productivity due to premature mortality were also a considerable burden. Overall mean Visual Function Questionnaire and EuroQol 5D-3L scores were correlated with visual acuity and demonstrated patients’ subjective decline in quality of vision. Conclusion: Management of nAMD carries a substantial burden on patients and caregivers. These results provide important information in understanding the effect of anti-VEGF therapy among patients with nAMD. Together with the quality-of-life burden on the patients, the management of nAMD has a significant societal impact.","author":[{"dropping-particle":"","family":"Spooner","given":"Kimberly L.","non-dropping-particle":"","parse-names":false,"suffix":""},{"dropping-particle":"","family":"Mhlanga","given":"Cleopatra T.","non-dropping-particle":"","parse-names":false,"suffix":""},{"dropping-particle":"","family":"Hong","given":"Thomas H.","non-dropping-particle":"","parse-names":false,"suffix":""},{"dropping-particle":"","family":"Broadhead","given":"Geoffrey K.","non-dropping-particle":"","parse-names":false,"suffix":""},{"dropping-particle":"","family":"Chang","given":"Andrew A.","non-dropping-particle":"","parse-names":false,"suffix":""}],"container-title":"Clinical ophthalmology (Auckland, N.Z.)","id":"ITEM-1","issued":{"date-parts":[["2018"]]},"page":"2483-2491","publisher":"Clin Ophthalmol","title":"The burden of neovascular age-related macular degeneration: a patient's perspective","type":"article-journal","volume":"12"},"uris":["http://www.mendeley.com/documents/?uuid=904dde1a-91d9-37ee-ac03-ad60ae89d167"]}],"mendeley":{"formattedCitation":"[17]","plainTextFormattedCitation":"[17]","previouslyFormattedCitation":"[17]"},"properties":{"noteIndex":0},"schema":"https://github.com/citation-style-language/schema/raw/master/csl-citation.json"}</w:instrText>
            </w:r>
            <w:r w:rsidR="00B64B5D">
              <w:rPr>
                <w:rFonts w:ascii="Avenir Book" w:eastAsia="Times New Roman" w:hAnsi="Avenir Book" w:cs="Times New Roman"/>
                <w:color w:val="303030"/>
                <w:sz w:val="18"/>
                <w:szCs w:val="18"/>
                <w:lang w:val="cs-CZ"/>
              </w:rPr>
              <w:fldChar w:fldCharType="separate"/>
            </w:r>
            <w:r w:rsidR="00B64B5D" w:rsidRPr="00B64B5D">
              <w:rPr>
                <w:rFonts w:ascii="Avenir Book" w:eastAsia="Times New Roman" w:hAnsi="Avenir Book" w:cs="Times New Roman"/>
                <w:noProof/>
                <w:color w:val="303030"/>
                <w:sz w:val="18"/>
                <w:szCs w:val="18"/>
                <w:lang w:val="cs-CZ"/>
              </w:rPr>
              <w:t>[17]</w:t>
            </w:r>
            <w:r w:rsidR="00B64B5D">
              <w:rPr>
                <w:rFonts w:ascii="Avenir Book" w:eastAsia="Times New Roman" w:hAnsi="Avenir Book" w:cs="Times New Roman"/>
                <w:color w:val="303030"/>
                <w:sz w:val="18"/>
                <w:szCs w:val="18"/>
                <w:lang w:val="cs-CZ"/>
              </w:rPr>
              <w:fldChar w:fldCharType="end"/>
            </w:r>
          </w:p>
        </w:tc>
        <w:tc>
          <w:tcPr>
            <w:tcW w:w="0" w:type="auto"/>
            <w:tcBorders>
              <w:bottom w:val="single" w:sz="6" w:space="0" w:color="DDE1EB"/>
            </w:tcBorders>
            <w:shd w:val="clear" w:color="auto" w:fill="FFFFFF"/>
            <w:hideMark/>
          </w:tcPr>
          <w:p w14:paraId="3C37E267" w14:textId="77777777" w:rsidR="004F136F" w:rsidRPr="004F136F" w:rsidRDefault="004F136F" w:rsidP="004F136F">
            <w:pPr>
              <w:rPr>
                <w:rFonts w:ascii="Avenir Book" w:eastAsia="Times New Roman" w:hAnsi="Avenir Book" w:cs="Times New Roman"/>
                <w:color w:val="303030"/>
                <w:sz w:val="18"/>
                <w:szCs w:val="18"/>
                <w:lang w:val="cs-CZ"/>
              </w:rPr>
            </w:pPr>
            <w:r w:rsidRPr="004F136F">
              <w:rPr>
                <w:rFonts w:ascii="Avenir Book" w:eastAsia="Times New Roman" w:hAnsi="Avenir Book" w:cs="Times New Roman"/>
                <w:color w:val="303030"/>
                <w:sz w:val="18"/>
                <w:szCs w:val="18"/>
                <w:lang w:val="cs-CZ"/>
              </w:rPr>
              <w:t>Kimberly L. Spooner et al.</w:t>
            </w:r>
          </w:p>
        </w:tc>
        <w:tc>
          <w:tcPr>
            <w:tcW w:w="0" w:type="auto"/>
            <w:tcBorders>
              <w:bottom w:val="single" w:sz="6" w:space="0" w:color="DDE1EB"/>
            </w:tcBorders>
            <w:shd w:val="clear" w:color="auto" w:fill="FFFFFF"/>
            <w:hideMark/>
          </w:tcPr>
          <w:p w14:paraId="46F54E94" w14:textId="77777777" w:rsidR="004F136F" w:rsidRPr="004F136F" w:rsidRDefault="004F136F" w:rsidP="004F136F">
            <w:pPr>
              <w:rPr>
                <w:rFonts w:ascii="Avenir Book" w:eastAsia="Times New Roman" w:hAnsi="Avenir Book" w:cs="Times New Roman"/>
                <w:color w:val="303030"/>
                <w:sz w:val="18"/>
                <w:szCs w:val="18"/>
                <w:lang w:val="cs-CZ"/>
              </w:rPr>
            </w:pPr>
            <w:r w:rsidRPr="004F136F">
              <w:rPr>
                <w:rFonts w:ascii="Avenir Book" w:eastAsia="Times New Roman" w:hAnsi="Avenir Book" w:cs="Times New Roman"/>
                <w:color w:val="303030"/>
                <w:sz w:val="18"/>
                <w:szCs w:val="18"/>
                <w:lang w:val="cs-CZ"/>
              </w:rPr>
              <w:t>2018</w:t>
            </w:r>
          </w:p>
        </w:tc>
        <w:tc>
          <w:tcPr>
            <w:tcW w:w="1754" w:type="dxa"/>
            <w:tcBorders>
              <w:bottom w:val="single" w:sz="6" w:space="0" w:color="DDE1EB"/>
            </w:tcBorders>
            <w:shd w:val="clear" w:color="auto" w:fill="FFFFFF"/>
            <w:hideMark/>
          </w:tcPr>
          <w:p w14:paraId="4BD45058" w14:textId="77777777" w:rsidR="004F136F" w:rsidRPr="004F136F" w:rsidRDefault="004F136F" w:rsidP="004F136F">
            <w:pPr>
              <w:rPr>
                <w:rFonts w:ascii="Avenir Book" w:eastAsia="Times New Roman" w:hAnsi="Avenir Book" w:cs="Times New Roman"/>
                <w:color w:val="303030"/>
                <w:sz w:val="18"/>
                <w:szCs w:val="18"/>
                <w:lang w:val="cs-CZ"/>
              </w:rPr>
            </w:pPr>
            <w:r w:rsidRPr="004F136F">
              <w:rPr>
                <w:rFonts w:ascii="Avenir Book" w:eastAsia="Times New Roman" w:hAnsi="Avenir Book" w:cs="Times New Roman"/>
                <w:color w:val="303030"/>
                <w:sz w:val="18"/>
                <w:szCs w:val="18"/>
                <w:lang w:val="cs-CZ"/>
              </w:rPr>
              <w:t>Průřezová neintervenční studie (dotazníková)</w:t>
            </w:r>
          </w:p>
        </w:tc>
        <w:tc>
          <w:tcPr>
            <w:tcW w:w="475" w:type="dxa"/>
            <w:tcBorders>
              <w:bottom w:val="single" w:sz="6" w:space="0" w:color="DDE1EB"/>
            </w:tcBorders>
            <w:shd w:val="clear" w:color="auto" w:fill="FFFFFF"/>
            <w:hideMark/>
          </w:tcPr>
          <w:p w14:paraId="2B1B0BDF" w14:textId="77777777" w:rsidR="004F136F" w:rsidRPr="004F136F" w:rsidRDefault="004F136F" w:rsidP="004F136F">
            <w:pPr>
              <w:rPr>
                <w:rFonts w:ascii="Avenir Book" w:eastAsia="Times New Roman" w:hAnsi="Avenir Book" w:cs="Times New Roman"/>
                <w:color w:val="303030"/>
                <w:sz w:val="18"/>
                <w:szCs w:val="18"/>
                <w:lang w:val="cs-CZ"/>
              </w:rPr>
            </w:pPr>
            <w:r w:rsidRPr="004F136F">
              <w:rPr>
                <w:rFonts w:ascii="Avenir Book" w:eastAsia="Times New Roman" w:hAnsi="Avenir Book" w:cs="Times New Roman"/>
                <w:color w:val="303030"/>
                <w:sz w:val="18"/>
                <w:szCs w:val="18"/>
                <w:lang w:val="cs-CZ"/>
              </w:rPr>
              <w:t>103</w:t>
            </w:r>
          </w:p>
        </w:tc>
        <w:tc>
          <w:tcPr>
            <w:tcW w:w="2693" w:type="dxa"/>
            <w:tcBorders>
              <w:bottom w:val="single" w:sz="6" w:space="0" w:color="DDE1EB"/>
            </w:tcBorders>
            <w:shd w:val="clear" w:color="auto" w:fill="FFFFFF"/>
            <w:hideMark/>
          </w:tcPr>
          <w:p w14:paraId="47A343ED" w14:textId="77777777" w:rsidR="004F136F" w:rsidRPr="00E10E87" w:rsidRDefault="004F136F" w:rsidP="004F136F">
            <w:pPr>
              <w:rPr>
                <w:rFonts w:ascii="Avenir Book" w:eastAsia="Times New Roman" w:hAnsi="Avenir Book" w:cs="Times New Roman"/>
                <w:color w:val="303030"/>
                <w:sz w:val="18"/>
                <w:szCs w:val="18"/>
                <w:lang w:val="cs-CZ"/>
              </w:rPr>
            </w:pPr>
            <w:r w:rsidRPr="00E10E87">
              <w:rPr>
                <w:rFonts w:ascii="Avenir Book" w:eastAsia="Times New Roman" w:hAnsi="Avenir Book" w:cs="Times New Roman"/>
                <w:color w:val="303030"/>
                <w:sz w:val="18"/>
                <w:szCs w:val="18"/>
                <w:lang w:val="cs-CZ"/>
              </w:rPr>
              <w:t>Léčba nAMD představuje zásadní časovou a finanční zátěž pro pacienty i pečovatele a negativně ovlivňuje vnímanou kvalitu života.</w:t>
            </w:r>
          </w:p>
        </w:tc>
      </w:tr>
      <w:tr w:rsidR="004F136F" w:rsidRPr="004F136F" w14:paraId="63E0CCDF" w14:textId="77777777" w:rsidTr="004F136F">
        <w:tc>
          <w:tcPr>
            <w:tcW w:w="0" w:type="auto"/>
            <w:tcBorders>
              <w:bottom w:val="single" w:sz="6" w:space="0" w:color="DDE1EB"/>
            </w:tcBorders>
            <w:shd w:val="clear" w:color="auto" w:fill="FFFFFF"/>
            <w:hideMark/>
          </w:tcPr>
          <w:p w14:paraId="715A2F0F" w14:textId="00508E37" w:rsidR="004F136F" w:rsidRPr="004F136F" w:rsidRDefault="004F136F" w:rsidP="004F136F">
            <w:pPr>
              <w:rPr>
                <w:rFonts w:ascii="Avenir Book" w:eastAsia="Times New Roman" w:hAnsi="Avenir Book" w:cs="Times New Roman"/>
                <w:color w:val="303030"/>
                <w:sz w:val="18"/>
                <w:szCs w:val="18"/>
                <w:lang w:val="cs-CZ"/>
              </w:rPr>
            </w:pPr>
            <w:r w:rsidRPr="004F136F">
              <w:rPr>
                <w:rFonts w:ascii="Avenir Book" w:eastAsia="Times New Roman" w:hAnsi="Avenir Book" w:cs="Times New Roman"/>
                <w:color w:val="303030"/>
                <w:sz w:val="18"/>
                <w:szCs w:val="18"/>
                <w:lang w:val="cs-CZ"/>
              </w:rPr>
              <w:t>Population Pharmacokinetics of Ranibizumab Delivered via the Port Delivery System Implanted in the Eye in Patients with Neovascular Age-Related Macular Degeneration</w:t>
            </w:r>
            <w:r w:rsidR="00B64B5D">
              <w:rPr>
                <w:rFonts w:ascii="Avenir Book" w:eastAsia="Times New Roman" w:hAnsi="Avenir Book" w:cs="Times New Roman"/>
                <w:color w:val="303030"/>
                <w:sz w:val="18"/>
                <w:szCs w:val="18"/>
                <w:lang w:val="cs-CZ"/>
              </w:rPr>
              <w:t xml:space="preserve"> </w:t>
            </w:r>
            <w:r w:rsidR="00B64B5D">
              <w:rPr>
                <w:rFonts w:ascii="Avenir Book" w:eastAsia="Times New Roman" w:hAnsi="Avenir Book" w:cs="Times New Roman"/>
                <w:color w:val="303030"/>
                <w:sz w:val="18"/>
                <w:szCs w:val="18"/>
                <w:lang w:val="cs-CZ"/>
              </w:rPr>
              <w:fldChar w:fldCharType="begin" w:fldLock="1"/>
            </w:r>
            <w:r w:rsidR="00B64B5D">
              <w:rPr>
                <w:rFonts w:ascii="Avenir Book" w:eastAsia="Times New Roman" w:hAnsi="Avenir Book" w:cs="Times New Roman"/>
                <w:color w:val="303030"/>
                <w:sz w:val="18"/>
                <w:szCs w:val="18"/>
                <w:lang w:val="cs-CZ"/>
              </w:rPr>
              <w:instrText>ADDIN CSL_CITATION {"citationItems":[{"id":"ITEM-1","itemData":{"DOI":"10.1002/JCPH.2290","ISSN":"1552-4604","PMID":"37291950","abstract":"The port delivery system with ranibizumab (PDS) is designed to continuously deliver ranibizumab to maintain therapeutic drug concentrations in the vitreous of the eye for an extended duration. The PDS has been evaluated for the treatment of neovascular age-related macular degeneration in the Ladder (PDS 10, 40, and 100 mg/mL, with refill exchanges as needed, versus monthly intravitreal ranibizumab 0.5 mg), Archway (PDS 100 mg/mL with 24-week refill exchanges, versus monthly intravitreal ranibizumab 0.5 mg), and ongoing Portal (PDS 100 mg/mL with 24-week refill exchanges) clinical trials. Data from Ladder, Archway, and Portal were used to develop a population pharmacokinetics (PK) model to estimate the ranibizumab release rate from the PDS implant, describe ranibizumab PK in serum and aqueous humor, and predict the concentration in vitreous humor. A model was developed to adequately describe the serum and aqueous humor PK data, as suggested by goodness-of-fit plots as well as visual predictive checks. In the final model, the first-order implant release rate was estimated to be 0.00654 (1/day), corresponding to a half-life of 106 days, consistent with the implant release rate determined in vitro. The model-predicted vitreous concentrations achieved with PDS 100 mg/mL given every 24 weeks were below the intravitreal peak concentration and above the intravitreal trough concentration of ranibizumab over the entire 24-week refill interval. The results demonstrate a durable release of ranibizumab from the PDS with a half-life of 106 days, providing vitreous exposure to ranibizumab for at least 24 weeks that is within the range of exposure for monthly intravitreal treatment.","author":[{"dropping-particle":"","family":"Kågedal","given":"Matts","non-dropping-particle":"","parse-names":false,"suffix":""},{"dropping-particle":"","family":"Alskär","given":"Oskar","non-dropping-particle":"","parse-names":false,"suffix":""},{"dropping-particle":"","family":"Petersson","given":"Klas","non-dropping-particle":"","parse-names":false,"suffix":""},{"dropping-particle":"","family":"Hanze","given":"Eva","non-dropping-particle":"","parse-names":false,"suffix":""},{"dropping-particle":"","family":"Maia","given":"Mauricio","non-dropping-particle":"","parse-names":false,"suffix":""},{"dropping-particle":"","family":"Lu","given":"Tong","non-dropping-particle":"","parse-names":false,"suffix":""},{"dropping-particle":"","family":"Vakhavkar","given":"Shweta","non-dropping-particle":"","parse-names":false,"suffix":""},{"dropping-particle":"","family":"Quartino","given":"Angelica","non-dropping-particle":"","parse-names":false,"suffix":""},{"dropping-particle":"","family":"Willis","given":"Jeffrey R.","non-dropping-particle":"","parse-names":false,"suffix":""},{"dropping-particle":"","family":"Jin","given":"Jin Y.","non-dropping-particle":"","parse-names":false,"suffix":""},{"dropping-particle":"","family":"Maass","given":"Katie F.","non-dropping-particle":"","parse-names":false,"suffix":""}],"container-title":"The Journal of Clinical Pharmacology","id":"ITEM-1","issue":"11","issued":{"date-parts":[["2023","11","1"]]},"page":"1210-1220","publisher":"John Wiley &amp; Sons, Ltd","title":"Population Pharmacokinetics of Ranibizumab Delivered via the Port Delivery System Implanted in the Eye in Patients with Neovascular Age-Related Macular Degeneration","type":"article-journal","volume":"63"},"uris":["http://www.mendeley.com/documents/?uuid=7f74ea37-385a-3763-8ab6-03a9ffd9bbe8"]}],"mendeley":{"formattedCitation":"[9]","plainTextFormattedCitation":"[9]","previouslyFormattedCitation":"[9]"},"properties":{"noteIndex":0},"schema":"https://github.com/citation-style-language/schema/raw/master/csl-citation.json"}</w:instrText>
            </w:r>
            <w:r w:rsidR="00B64B5D">
              <w:rPr>
                <w:rFonts w:ascii="Avenir Book" w:eastAsia="Times New Roman" w:hAnsi="Avenir Book" w:cs="Times New Roman"/>
                <w:color w:val="303030"/>
                <w:sz w:val="18"/>
                <w:szCs w:val="18"/>
                <w:lang w:val="cs-CZ"/>
              </w:rPr>
              <w:fldChar w:fldCharType="separate"/>
            </w:r>
            <w:r w:rsidR="00B64B5D" w:rsidRPr="00B64B5D">
              <w:rPr>
                <w:rFonts w:ascii="Avenir Book" w:eastAsia="Times New Roman" w:hAnsi="Avenir Book" w:cs="Times New Roman"/>
                <w:noProof/>
                <w:color w:val="303030"/>
                <w:sz w:val="18"/>
                <w:szCs w:val="18"/>
                <w:lang w:val="cs-CZ"/>
              </w:rPr>
              <w:t>[9]</w:t>
            </w:r>
            <w:r w:rsidR="00B64B5D">
              <w:rPr>
                <w:rFonts w:ascii="Avenir Book" w:eastAsia="Times New Roman" w:hAnsi="Avenir Book" w:cs="Times New Roman"/>
                <w:color w:val="303030"/>
                <w:sz w:val="18"/>
                <w:szCs w:val="18"/>
                <w:lang w:val="cs-CZ"/>
              </w:rPr>
              <w:fldChar w:fldCharType="end"/>
            </w:r>
          </w:p>
        </w:tc>
        <w:tc>
          <w:tcPr>
            <w:tcW w:w="0" w:type="auto"/>
            <w:tcBorders>
              <w:bottom w:val="single" w:sz="6" w:space="0" w:color="DDE1EB"/>
            </w:tcBorders>
            <w:shd w:val="clear" w:color="auto" w:fill="FFFFFF"/>
            <w:hideMark/>
          </w:tcPr>
          <w:p w14:paraId="2BCC411F" w14:textId="77777777" w:rsidR="004F136F" w:rsidRPr="004F136F" w:rsidRDefault="004F136F" w:rsidP="004F136F">
            <w:pPr>
              <w:rPr>
                <w:rFonts w:ascii="Avenir Book" w:eastAsia="Times New Roman" w:hAnsi="Avenir Book" w:cs="Times New Roman"/>
                <w:color w:val="303030"/>
                <w:sz w:val="18"/>
                <w:szCs w:val="18"/>
                <w:lang w:val="cs-CZ"/>
              </w:rPr>
            </w:pPr>
            <w:r w:rsidRPr="004F136F">
              <w:rPr>
                <w:rFonts w:ascii="Avenir Book" w:eastAsia="Times New Roman" w:hAnsi="Avenir Book" w:cs="Times New Roman"/>
                <w:color w:val="303030"/>
                <w:sz w:val="18"/>
                <w:szCs w:val="18"/>
                <w:lang w:val="cs-CZ"/>
              </w:rPr>
              <w:t>Matts Kågedal et al.</w:t>
            </w:r>
          </w:p>
        </w:tc>
        <w:tc>
          <w:tcPr>
            <w:tcW w:w="0" w:type="auto"/>
            <w:tcBorders>
              <w:bottom w:val="single" w:sz="6" w:space="0" w:color="DDE1EB"/>
            </w:tcBorders>
            <w:shd w:val="clear" w:color="auto" w:fill="FFFFFF"/>
            <w:hideMark/>
          </w:tcPr>
          <w:p w14:paraId="55EB00AD" w14:textId="77777777" w:rsidR="004F136F" w:rsidRPr="004F136F" w:rsidRDefault="004F136F" w:rsidP="004F136F">
            <w:pPr>
              <w:rPr>
                <w:rFonts w:ascii="Avenir Book" w:eastAsia="Times New Roman" w:hAnsi="Avenir Book" w:cs="Times New Roman"/>
                <w:color w:val="303030"/>
                <w:sz w:val="18"/>
                <w:szCs w:val="18"/>
                <w:lang w:val="cs-CZ"/>
              </w:rPr>
            </w:pPr>
            <w:r w:rsidRPr="004F136F">
              <w:rPr>
                <w:rFonts w:ascii="Avenir Book" w:eastAsia="Times New Roman" w:hAnsi="Avenir Book" w:cs="Times New Roman"/>
                <w:color w:val="303030"/>
                <w:sz w:val="18"/>
                <w:szCs w:val="18"/>
                <w:lang w:val="cs-CZ"/>
              </w:rPr>
              <w:t>2023</w:t>
            </w:r>
          </w:p>
        </w:tc>
        <w:tc>
          <w:tcPr>
            <w:tcW w:w="1754" w:type="dxa"/>
            <w:tcBorders>
              <w:bottom w:val="single" w:sz="6" w:space="0" w:color="DDE1EB"/>
            </w:tcBorders>
            <w:shd w:val="clear" w:color="auto" w:fill="FFFFFF"/>
            <w:hideMark/>
          </w:tcPr>
          <w:p w14:paraId="3385D274" w14:textId="77777777" w:rsidR="004F136F" w:rsidRPr="004F136F" w:rsidRDefault="004F136F" w:rsidP="004F136F">
            <w:pPr>
              <w:rPr>
                <w:rFonts w:ascii="Avenir Book" w:eastAsia="Times New Roman" w:hAnsi="Avenir Book" w:cs="Times New Roman"/>
                <w:color w:val="303030"/>
                <w:sz w:val="18"/>
                <w:szCs w:val="18"/>
                <w:lang w:val="cs-CZ"/>
              </w:rPr>
            </w:pPr>
            <w:r w:rsidRPr="004F136F">
              <w:rPr>
                <w:rFonts w:ascii="Avenir Book" w:eastAsia="Times New Roman" w:hAnsi="Avenir Book" w:cs="Times New Roman"/>
                <w:color w:val="303030"/>
                <w:sz w:val="18"/>
                <w:szCs w:val="18"/>
                <w:lang w:val="cs-CZ"/>
              </w:rPr>
              <w:t>Populační farmakokinetické modelování</w:t>
            </w:r>
          </w:p>
        </w:tc>
        <w:tc>
          <w:tcPr>
            <w:tcW w:w="475" w:type="dxa"/>
            <w:tcBorders>
              <w:bottom w:val="single" w:sz="6" w:space="0" w:color="DDE1EB"/>
            </w:tcBorders>
            <w:shd w:val="clear" w:color="auto" w:fill="FFFFFF"/>
            <w:hideMark/>
          </w:tcPr>
          <w:p w14:paraId="2FE76B4E" w14:textId="77777777" w:rsidR="004F136F" w:rsidRPr="004F136F" w:rsidRDefault="004F136F" w:rsidP="004F136F">
            <w:pPr>
              <w:rPr>
                <w:rFonts w:ascii="Avenir Book" w:eastAsia="Times New Roman" w:hAnsi="Avenir Book" w:cs="Times New Roman"/>
                <w:color w:val="303030"/>
                <w:sz w:val="18"/>
                <w:szCs w:val="18"/>
                <w:lang w:val="cs-CZ"/>
              </w:rPr>
            </w:pPr>
            <w:r w:rsidRPr="004F136F">
              <w:rPr>
                <w:rFonts w:ascii="Avenir Book" w:eastAsia="Times New Roman" w:hAnsi="Avenir Book" w:cs="Times New Roman"/>
                <w:color w:val="303030"/>
                <w:sz w:val="18"/>
                <w:szCs w:val="18"/>
                <w:lang w:val="cs-CZ"/>
              </w:rPr>
              <w:t>550 (ze 3 studií)</w:t>
            </w:r>
          </w:p>
        </w:tc>
        <w:tc>
          <w:tcPr>
            <w:tcW w:w="2693" w:type="dxa"/>
            <w:tcBorders>
              <w:bottom w:val="single" w:sz="6" w:space="0" w:color="DDE1EB"/>
            </w:tcBorders>
            <w:shd w:val="clear" w:color="auto" w:fill="FFFFFF"/>
            <w:hideMark/>
          </w:tcPr>
          <w:p w14:paraId="5C0C6DE5" w14:textId="77777777" w:rsidR="004F136F" w:rsidRPr="00E10E87" w:rsidRDefault="004F136F" w:rsidP="004F136F">
            <w:pPr>
              <w:rPr>
                <w:rFonts w:ascii="Avenir Book" w:eastAsia="Times New Roman" w:hAnsi="Avenir Book" w:cs="Times New Roman"/>
                <w:color w:val="303030"/>
                <w:sz w:val="18"/>
                <w:szCs w:val="18"/>
                <w:lang w:val="cs-CZ"/>
              </w:rPr>
            </w:pPr>
            <w:r w:rsidRPr="00E10E87">
              <w:rPr>
                <w:rFonts w:ascii="Avenir Book" w:eastAsia="Times New Roman" w:hAnsi="Avenir Book" w:cs="Times New Roman"/>
                <w:color w:val="303030"/>
                <w:sz w:val="18"/>
                <w:szCs w:val="18"/>
                <w:lang w:val="cs-CZ"/>
              </w:rPr>
              <w:t>Model potvrdil trvalé uvolňování ranibizumabu (odhadovaný poločas 106 dní) a zajištění adekvátní hladiny léku ve sklivci po celých 24 týdnů.</w:t>
            </w:r>
          </w:p>
        </w:tc>
      </w:tr>
      <w:tr w:rsidR="004F136F" w:rsidRPr="004F136F" w14:paraId="3D66B99A" w14:textId="77777777" w:rsidTr="004F136F">
        <w:tc>
          <w:tcPr>
            <w:tcW w:w="0" w:type="auto"/>
            <w:tcBorders>
              <w:bottom w:val="single" w:sz="6" w:space="0" w:color="DDE1EB"/>
            </w:tcBorders>
            <w:shd w:val="clear" w:color="auto" w:fill="FFFFFF"/>
            <w:hideMark/>
          </w:tcPr>
          <w:p w14:paraId="70752E40" w14:textId="1BE75501" w:rsidR="004F136F" w:rsidRPr="004F136F" w:rsidRDefault="004F136F" w:rsidP="004F136F">
            <w:pPr>
              <w:rPr>
                <w:rFonts w:ascii="Avenir Book" w:eastAsia="Times New Roman" w:hAnsi="Avenir Book" w:cs="Times New Roman"/>
                <w:color w:val="303030"/>
                <w:sz w:val="18"/>
                <w:szCs w:val="18"/>
                <w:lang w:val="cs-CZ"/>
              </w:rPr>
            </w:pPr>
            <w:r w:rsidRPr="004F136F">
              <w:rPr>
                <w:rFonts w:ascii="Avenir Book" w:eastAsia="Times New Roman" w:hAnsi="Avenir Book" w:cs="Times New Roman"/>
                <w:color w:val="303030"/>
                <w:sz w:val="18"/>
                <w:szCs w:val="18"/>
                <w:lang w:val="cs-CZ"/>
              </w:rPr>
              <w:t>Stability of ranibizumab during continuous delivery from the Port Delivery Platform</w:t>
            </w:r>
            <w:r w:rsidR="00B64B5D">
              <w:rPr>
                <w:rFonts w:ascii="Avenir Book" w:eastAsia="Times New Roman" w:hAnsi="Avenir Book" w:cs="Times New Roman"/>
                <w:color w:val="303030"/>
                <w:sz w:val="18"/>
                <w:szCs w:val="18"/>
                <w:lang w:val="cs-CZ"/>
              </w:rPr>
              <w:t xml:space="preserve"> </w:t>
            </w:r>
            <w:r w:rsidR="00B64B5D">
              <w:rPr>
                <w:rFonts w:ascii="Avenir Book" w:eastAsia="Times New Roman" w:hAnsi="Avenir Book" w:cs="Times New Roman"/>
                <w:color w:val="303030"/>
                <w:sz w:val="18"/>
                <w:szCs w:val="18"/>
                <w:lang w:val="cs-CZ"/>
              </w:rPr>
              <w:fldChar w:fldCharType="begin" w:fldLock="1"/>
            </w:r>
            <w:r w:rsidR="00E10E87">
              <w:rPr>
                <w:rFonts w:ascii="Avenir Book" w:eastAsia="Times New Roman" w:hAnsi="Avenir Book" w:cs="Times New Roman"/>
                <w:color w:val="303030"/>
                <w:sz w:val="18"/>
                <w:szCs w:val="18"/>
                <w:lang w:val="cs-CZ"/>
              </w:rPr>
              <w:instrText>ADDIN CSL_CITATION {"citationItems":[{"id":"ITEM-1","itemData":{"DOI":"10.1016/j.jconrel.2023.12.027","ISSN":"18734995","PMID":"38128885","abstract":"The Port Delivery System with ranibizumab (PDS) is an innovative intraocular drug delivery system that has the potential to reduce treatment burden in patients with retinovascular diseases. The Port Delivery Platform (PD-P) implant is a permanent, indwelling device that can be refilled in situ through a self-sealing septum and is designed to continuously deliver ranibizumab by passive diffusion through a porous titanium release control element. We present results for the studies carried out to characterize the stability of ranibizumab for use with the PD-P. Simulated administration, in vitro release studies, and modeling studies were performed to evaluate the compatibility of ranibizumab with the PD-P administration components, and degradation and photostability in the implant. Simulated administration studies demonstrated that ranibizumab was highly compatible with the PD-P administration components (initial fill and refill needles) and commercially available administration components (syringe, transfer needle, syringe closure). Subsequent simulated in vitro release studies examining continuous delivery for up to 12 months in phosphate buffered saline, a surrogate for human vitreous, showed that the primary degradation products of ranibizumab were acidic variants. The presence of these variants increased over time and potency remained high. The stability attributes of ranibizumab were consistent across multiple implant refill-exchanges. Despite some degradation within the implant, the absolute mass of variants released daily from the implant was low due to the continuous release mechanism of the implant. Simulated light exposure within the implant resulted in small increases in the relative amount of ranibizumab degradants compared with those seen over 6 months.","author":[{"dropping-particle":"","family":"Hieb","given":"Aaron R.","non-dropping-particle":"","parse-names":false,"suffix":""},{"dropping-particle":"","family":"Horvath","given":"Judit","non-dropping-particle":"","parse-names":false,"suffix":""},{"dropping-particle":"","family":"Rea","given":"Jennifer","non-dropping-particle":"","parse-names":false,"suffix":""},{"dropping-particle":"","family":"Tam","given":"Tammy","non-dropping-particle":"","parse-names":false,"suffix":""},{"dropping-particle":"","family":"Chang","given":"Debby P.","non-dropping-particle":"","parse-names":false,"suffix":""},{"dropping-particle":"","family":"Jong","given":"Isabella","non-dropping-particle":"de","parse-names":false,"suffix":""},{"dropping-particle":"","family":"Zheng","given":"Kai","non-dropping-particle":"","parse-names":false,"suffix":""},{"dropping-particle":"","family":"Yohe","given":"Stefan T.","non-dropping-particle":"","parse-names":false,"suffix":""},{"dropping-particle":"V.","family":"Ranade","given":"Shrirang","non-dropping-particle":"","parse-names":false,"suffix":""}],"container-title":"Journal of Controlled Release","id":"ITEM-1","issued":{"date-parts":[["2024","2","1"]]},"page":"170-181","publisher":"Elsevier B.V.","title":"Stability of ranibizumab during continuous delivery from the Port Delivery Platform","type":"article-journal","volume":"366"},"uris":["http://www.mendeley.com/documents/?uuid=eb5e679e-2902-31e1-8d92-77f6a9ce4fbf"]}],"mendeley":{"formattedCitation":"[18]","plainTextFormattedCitation":"[18]","previouslyFormattedCitation":"[18]"},"properties":{"noteIndex":0},"schema":"https://github.com/citation-style-language/schema/raw/master/csl-citation.json"}</w:instrText>
            </w:r>
            <w:r w:rsidR="00B64B5D">
              <w:rPr>
                <w:rFonts w:ascii="Avenir Book" w:eastAsia="Times New Roman" w:hAnsi="Avenir Book" w:cs="Times New Roman"/>
                <w:color w:val="303030"/>
                <w:sz w:val="18"/>
                <w:szCs w:val="18"/>
                <w:lang w:val="cs-CZ"/>
              </w:rPr>
              <w:fldChar w:fldCharType="separate"/>
            </w:r>
            <w:r w:rsidR="00B64B5D" w:rsidRPr="00B64B5D">
              <w:rPr>
                <w:rFonts w:ascii="Avenir Book" w:eastAsia="Times New Roman" w:hAnsi="Avenir Book" w:cs="Times New Roman"/>
                <w:noProof/>
                <w:color w:val="303030"/>
                <w:sz w:val="18"/>
                <w:szCs w:val="18"/>
                <w:lang w:val="cs-CZ"/>
              </w:rPr>
              <w:t>[18]</w:t>
            </w:r>
            <w:r w:rsidR="00B64B5D">
              <w:rPr>
                <w:rFonts w:ascii="Avenir Book" w:eastAsia="Times New Roman" w:hAnsi="Avenir Book" w:cs="Times New Roman"/>
                <w:color w:val="303030"/>
                <w:sz w:val="18"/>
                <w:szCs w:val="18"/>
                <w:lang w:val="cs-CZ"/>
              </w:rPr>
              <w:fldChar w:fldCharType="end"/>
            </w:r>
          </w:p>
        </w:tc>
        <w:tc>
          <w:tcPr>
            <w:tcW w:w="0" w:type="auto"/>
            <w:tcBorders>
              <w:bottom w:val="single" w:sz="6" w:space="0" w:color="DDE1EB"/>
            </w:tcBorders>
            <w:shd w:val="clear" w:color="auto" w:fill="FFFFFF"/>
            <w:hideMark/>
          </w:tcPr>
          <w:p w14:paraId="5A7C47AE" w14:textId="77777777" w:rsidR="004F136F" w:rsidRPr="004F136F" w:rsidRDefault="004F136F" w:rsidP="004F136F">
            <w:pPr>
              <w:rPr>
                <w:rFonts w:ascii="Avenir Book" w:eastAsia="Times New Roman" w:hAnsi="Avenir Book" w:cs="Times New Roman"/>
                <w:color w:val="303030"/>
                <w:sz w:val="18"/>
                <w:szCs w:val="18"/>
                <w:lang w:val="cs-CZ"/>
              </w:rPr>
            </w:pPr>
            <w:r w:rsidRPr="004F136F">
              <w:rPr>
                <w:rFonts w:ascii="Avenir Book" w:eastAsia="Times New Roman" w:hAnsi="Avenir Book" w:cs="Times New Roman"/>
                <w:color w:val="303030"/>
                <w:sz w:val="18"/>
                <w:szCs w:val="18"/>
                <w:lang w:val="cs-CZ"/>
              </w:rPr>
              <w:t>Aaron R. Hieb et al.</w:t>
            </w:r>
          </w:p>
        </w:tc>
        <w:tc>
          <w:tcPr>
            <w:tcW w:w="0" w:type="auto"/>
            <w:tcBorders>
              <w:bottom w:val="single" w:sz="6" w:space="0" w:color="DDE1EB"/>
            </w:tcBorders>
            <w:shd w:val="clear" w:color="auto" w:fill="FFFFFF"/>
            <w:hideMark/>
          </w:tcPr>
          <w:p w14:paraId="6CD6D6C5" w14:textId="77777777" w:rsidR="004F136F" w:rsidRPr="004F136F" w:rsidRDefault="004F136F" w:rsidP="004F136F">
            <w:pPr>
              <w:rPr>
                <w:rFonts w:ascii="Avenir Book" w:eastAsia="Times New Roman" w:hAnsi="Avenir Book" w:cs="Times New Roman"/>
                <w:color w:val="303030"/>
                <w:sz w:val="18"/>
                <w:szCs w:val="18"/>
                <w:lang w:val="cs-CZ"/>
              </w:rPr>
            </w:pPr>
            <w:r w:rsidRPr="004F136F">
              <w:rPr>
                <w:rFonts w:ascii="Avenir Book" w:eastAsia="Times New Roman" w:hAnsi="Avenir Book" w:cs="Times New Roman"/>
                <w:color w:val="303030"/>
                <w:sz w:val="18"/>
                <w:szCs w:val="18"/>
                <w:lang w:val="cs-CZ"/>
              </w:rPr>
              <w:t>2023</w:t>
            </w:r>
          </w:p>
        </w:tc>
        <w:tc>
          <w:tcPr>
            <w:tcW w:w="1754" w:type="dxa"/>
            <w:tcBorders>
              <w:bottom w:val="single" w:sz="6" w:space="0" w:color="DDE1EB"/>
            </w:tcBorders>
            <w:shd w:val="clear" w:color="auto" w:fill="FFFFFF"/>
            <w:hideMark/>
          </w:tcPr>
          <w:p w14:paraId="08FA2760" w14:textId="77777777" w:rsidR="004F136F" w:rsidRPr="004F136F" w:rsidRDefault="004F136F" w:rsidP="004F136F">
            <w:pPr>
              <w:rPr>
                <w:rFonts w:ascii="Avenir Book" w:eastAsia="Times New Roman" w:hAnsi="Avenir Book" w:cs="Times New Roman"/>
                <w:color w:val="303030"/>
                <w:sz w:val="18"/>
                <w:szCs w:val="18"/>
                <w:lang w:val="cs-CZ"/>
              </w:rPr>
            </w:pPr>
            <w:r w:rsidRPr="004F136F">
              <w:rPr>
                <w:rFonts w:ascii="Avenir Book" w:eastAsia="Times New Roman" w:hAnsi="Avenir Book" w:cs="Times New Roman"/>
                <w:color w:val="303030"/>
                <w:sz w:val="18"/>
                <w:szCs w:val="18"/>
                <w:lang w:val="cs-CZ"/>
              </w:rPr>
              <w:t>In vitro simulace a modely uvolňování</w:t>
            </w:r>
          </w:p>
        </w:tc>
        <w:tc>
          <w:tcPr>
            <w:tcW w:w="475" w:type="dxa"/>
            <w:tcBorders>
              <w:bottom w:val="single" w:sz="6" w:space="0" w:color="DDE1EB"/>
            </w:tcBorders>
            <w:shd w:val="clear" w:color="auto" w:fill="FFFFFF"/>
            <w:hideMark/>
          </w:tcPr>
          <w:p w14:paraId="7FC53F40" w14:textId="77777777" w:rsidR="004F136F" w:rsidRPr="004F136F" w:rsidRDefault="004F136F" w:rsidP="004F136F">
            <w:pPr>
              <w:rPr>
                <w:rFonts w:ascii="Avenir Book" w:eastAsia="Times New Roman" w:hAnsi="Avenir Book" w:cs="Times New Roman"/>
                <w:color w:val="303030"/>
                <w:sz w:val="18"/>
                <w:szCs w:val="18"/>
                <w:lang w:val="cs-CZ"/>
              </w:rPr>
            </w:pPr>
            <w:r w:rsidRPr="004F136F">
              <w:rPr>
                <w:rFonts w:ascii="Avenir Book" w:eastAsia="Times New Roman" w:hAnsi="Avenir Book" w:cs="Times New Roman"/>
                <w:color w:val="303030"/>
                <w:sz w:val="18"/>
                <w:szCs w:val="18"/>
                <w:lang w:val="cs-CZ"/>
              </w:rPr>
              <w:t>Neuvedeno</w:t>
            </w:r>
          </w:p>
        </w:tc>
        <w:tc>
          <w:tcPr>
            <w:tcW w:w="2693" w:type="dxa"/>
            <w:tcBorders>
              <w:bottom w:val="single" w:sz="6" w:space="0" w:color="DDE1EB"/>
            </w:tcBorders>
            <w:shd w:val="clear" w:color="auto" w:fill="FFFFFF"/>
            <w:hideMark/>
          </w:tcPr>
          <w:p w14:paraId="4D186EFD" w14:textId="77777777" w:rsidR="004F136F" w:rsidRPr="00E10E87" w:rsidRDefault="004F136F" w:rsidP="004F136F">
            <w:pPr>
              <w:rPr>
                <w:rFonts w:ascii="Avenir Book" w:eastAsia="Times New Roman" w:hAnsi="Avenir Book" w:cs="Times New Roman"/>
                <w:color w:val="303030"/>
                <w:sz w:val="18"/>
                <w:szCs w:val="18"/>
                <w:lang w:val="cs-CZ"/>
              </w:rPr>
            </w:pPr>
            <w:r w:rsidRPr="00E10E87">
              <w:rPr>
                <w:rFonts w:ascii="Avenir Book" w:eastAsia="Times New Roman" w:hAnsi="Avenir Book" w:cs="Times New Roman"/>
                <w:color w:val="303030"/>
                <w:sz w:val="18"/>
                <w:szCs w:val="18"/>
                <w:lang w:val="cs-CZ"/>
              </w:rPr>
              <w:t>Léčivo zůstává v implantátu vysoce účinné a stabilní po dobu 12 měsíců a denní množství uvolněných degradantů je udržováno na neškodném minimu.</w:t>
            </w:r>
          </w:p>
        </w:tc>
      </w:tr>
      <w:tr w:rsidR="004F136F" w:rsidRPr="004F136F" w14:paraId="5B65CA94" w14:textId="77777777" w:rsidTr="004F136F">
        <w:tc>
          <w:tcPr>
            <w:tcW w:w="0" w:type="auto"/>
            <w:tcBorders>
              <w:bottom w:val="single" w:sz="6" w:space="0" w:color="DDE1EB"/>
            </w:tcBorders>
            <w:shd w:val="clear" w:color="auto" w:fill="FFFFFF"/>
            <w:hideMark/>
          </w:tcPr>
          <w:p w14:paraId="5C5250D7" w14:textId="01624624" w:rsidR="004F136F" w:rsidRPr="004F136F" w:rsidRDefault="004F136F" w:rsidP="004F136F">
            <w:pPr>
              <w:rPr>
                <w:rFonts w:ascii="Avenir Book" w:eastAsia="Times New Roman" w:hAnsi="Avenir Book" w:cs="Times New Roman"/>
                <w:color w:val="303030"/>
                <w:sz w:val="18"/>
                <w:szCs w:val="18"/>
                <w:lang w:val="cs-CZ"/>
              </w:rPr>
            </w:pPr>
            <w:r w:rsidRPr="004F136F">
              <w:rPr>
                <w:rFonts w:ascii="Avenir Book" w:eastAsia="Times New Roman" w:hAnsi="Avenir Book" w:cs="Times New Roman"/>
                <w:color w:val="303030"/>
                <w:sz w:val="18"/>
                <w:szCs w:val="18"/>
                <w:lang w:val="cs-CZ"/>
              </w:rPr>
              <w:t xml:space="preserve">Ranibizumab Port Delivery System in Neovascular Age-Related Macular Degeneration: Where Do We Stand? Overview of </w:t>
            </w:r>
            <w:r w:rsidRPr="004F136F">
              <w:rPr>
                <w:rFonts w:ascii="Avenir Book" w:eastAsia="Times New Roman" w:hAnsi="Avenir Book" w:cs="Times New Roman"/>
                <w:color w:val="303030"/>
                <w:sz w:val="18"/>
                <w:szCs w:val="18"/>
                <w:lang w:val="cs-CZ"/>
              </w:rPr>
              <w:lastRenderedPageBreak/>
              <w:t>Pharmacokinetics, Clinical Results, and Future Directions</w:t>
            </w:r>
            <w:r w:rsidR="00E10E87">
              <w:rPr>
                <w:rFonts w:ascii="Avenir Book" w:eastAsia="Times New Roman" w:hAnsi="Avenir Book" w:cs="Times New Roman"/>
                <w:color w:val="303030"/>
                <w:sz w:val="18"/>
                <w:szCs w:val="18"/>
                <w:lang w:val="cs-CZ"/>
              </w:rPr>
              <w:t xml:space="preserve"> </w:t>
            </w:r>
            <w:r w:rsidR="00E10E87">
              <w:rPr>
                <w:rFonts w:ascii="Avenir Book" w:eastAsia="Times New Roman" w:hAnsi="Avenir Book" w:cs="Times New Roman"/>
                <w:color w:val="303030"/>
                <w:sz w:val="18"/>
                <w:szCs w:val="18"/>
                <w:lang w:val="cs-CZ"/>
              </w:rPr>
              <w:fldChar w:fldCharType="begin" w:fldLock="1"/>
            </w:r>
            <w:r w:rsidR="00E10E87">
              <w:rPr>
                <w:rFonts w:ascii="Avenir Book" w:eastAsia="Times New Roman" w:hAnsi="Avenir Book" w:cs="Times New Roman"/>
                <w:color w:val="303030"/>
                <w:sz w:val="18"/>
                <w:szCs w:val="18"/>
                <w:lang w:val="cs-CZ"/>
              </w:rPr>
              <w:instrText>ADDIN CSL_CITATION {"citationItems":[{"id":"ITEM-1","itemData":{"DOI":"10.3390/PHARMACEUTICS16030314","ISSN":"1999-4923","PMID":"38543208","abstract":"The ranibizumab (RBZ) port delivery system (PDS) is a device designed to continuously deliver RBZ in the vitreous chamber for the treatment of neovascular age-related macular degeneration (nAMD). It is implanted during a surgical procedure and can provide sustained release of the medication for several months. This review, updated to January 2024, focuses on past clinical studies as well as current and forthcoming trials looking into a PDS with RBZ. In the phase 2 LADDER trial, the mean time to first refill of a PDS with RBZ 100 mg/mL was 15.8 months, with the pharmacokinetic (PK) profile showing a sustained concentration of RBZ in the blood and aqueous humor. More recently, a PDS with RBZ (100 mg/mL) refilled every 24 weeks was shown to be non-inferior to a monthly intravitreal injection (IVI) with RBZ (0.5 mg) over 40 and 92 weeks in the phase 3 ARCHWAY trial. The refill every 24 weeks allowed for a RBZ vitreous exposure within the concentration range of monthly intravitreal injections (IVIs), and the expected half-life (106 days) was comparable with the in vitro results. Nonetheless, vitreous hemorrhage and endophthalmitis were more common side effects in PDS patients. In conclusion, a PDS continuously delivering RBZ has a clinical effectiveness level comparable with IVI treatment. However, a greater frequency of unfavorable occurrences highlights the need for procedure optimization for a wider adoption. Ongoing trials and possible future approaches need to be addressed.","author":[{"dropping-particle":"","family":"Carlà","given":"Matteo Mario","non-dropping-particle":"","parse-names":false,"suffix":""},{"dropping-particle":"","family":"Savastano","given":"Maria Cristina","non-dropping-particle":"","parse-names":false,"suffix":""},{"dropping-particle":"","family":"Boselli","given":"Francesco","non-dropping-particle":"","parse-names":false,"suffix":""},{"dropping-particle":"","family":"Giannuzzi","given":"Federico","non-dropping-particle":"","parse-names":false,"suffix":""},{"dropping-particle":"","family":"Rizzo","given":"Stanislao","non-dropping-particle":"","parse-names":false,"suffix":""}],"container-title":"Pharmaceutics","id":"ITEM-1","issue":"3","issued":{"date-parts":[["2024","3","1"]]},"publisher":"Pharmaceutics","title":"Ranibizumab Port Delivery System in Neovascular Age-Related Macular Degeneration: Where Do We Stand? Overview of Pharmacokinetics, Clinical Results, and Future Directions","type":"article-journal","volume":"16"},"uris":["http://www.mendeley.com/documents/?uuid=cd245a02-d8b0-35f0-aeca-ddc8dfb8a522"]}],"mendeley":{"formattedCitation":"[3]","plainTextFormattedCitation":"[3]","previouslyFormattedCitation":"[3]"},"properties":{"noteIndex":0},"schema":"https://github.com/citation-style-language/schema/raw/master/csl-citation.json"}</w:instrText>
            </w:r>
            <w:r w:rsidR="00E10E87">
              <w:rPr>
                <w:rFonts w:ascii="Avenir Book" w:eastAsia="Times New Roman" w:hAnsi="Avenir Book" w:cs="Times New Roman"/>
                <w:color w:val="303030"/>
                <w:sz w:val="18"/>
                <w:szCs w:val="18"/>
                <w:lang w:val="cs-CZ"/>
              </w:rPr>
              <w:fldChar w:fldCharType="separate"/>
            </w:r>
            <w:r w:rsidR="00E10E87" w:rsidRPr="00E10E87">
              <w:rPr>
                <w:rFonts w:ascii="Avenir Book" w:eastAsia="Times New Roman" w:hAnsi="Avenir Book" w:cs="Times New Roman"/>
                <w:noProof/>
                <w:color w:val="303030"/>
                <w:sz w:val="18"/>
                <w:szCs w:val="18"/>
                <w:lang w:val="cs-CZ"/>
              </w:rPr>
              <w:t>[3]</w:t>
            </w:r>
            <w:r w:rsidR="00E10E87">
              <w:rPr>
                <w:rFonts w:ascii="Avenir Book" w:eastAsia="Times New Roman" w:hAnsi="Avenir Book" w:cs="Times New Roman"/>
                <w:color w:val="303030"/>
                <w:sz w:val="18"/>
                <w:szCs w:val="18"/>
                <w:lang w:val="cs-CZ"/>
              </w:rPr>
              <w:fldChar w:fldCharType="end"/>
            </w:r>
          </w:p>
        </w:tc>
        <w:tc>
          <w:tcPr>
            <w:tcW w:w="0" w:type="auto"/>
            <w:tcBorders>
              <w:bottom w:val="single" w:sz="6" w:space="0" w:color="DDE1EB"/>
            </w:tcBorders>
            <w:shd w:val="clear" w:color="auto" w:fill="FFFFFF"/>
            <w:hideMark/>
          </w:tcPr>
          <w:p w14:paraId="5CF43BF1" w14:textId="77777777" w:rsidR="004F136F" w:rsidRPr="004F136F" w:rsidRDefault="004F136F" w:rsidP="004F136F">
            <w:pPr>
              <w:rPr>
                <w:rFonts w:ascii="Avenir Book" w:eastAsia="Times New Roman" w:hAnsi="Avenir Book" w:cs="Times New Roman"/>
                <w:color w:val="303030"/>
                <w:sz w:val="18"/>
                <w:szCs w:val="18"/>
                <w:lang w:val="cs-CZ"/>
              </w:rPr>
            </w:pPr>
            <w:r w:rsidRPr="004F136F">
              <w:rPr>
                <w:rFonts w:ascii="Avenir Book" w:eastAsia="Times New Roman" w:hAnsi="Avenir Book" w:cs="Times New Roman"/>
                <w:color w:val="303030"/>
                <w:sz w:val="18"/>
                <w:szCs w:val="18"/>
                <w:lang w:val="cs-CZ"/>
              </w:rPr>
              <w:lastRenderedPageBreak/>
              <w:t>Matteo Mario Carlà et al.</w:t>
            </w:r>
          </w:p>
        </w:tc>
        <w:tc>
          <w:tcPr>
            <w:tcW w:w="0" w:type="auto"/>
            <w:tcBorders>
              <w:bottom w:val="single" w:sz="6" w:space="0" w:color="DDE1EB"/>
            </w:tcBorders>
            <w:shd w:val="clear" w:color="auto" w:fill="FFFFFF"/>
            <w:hideMark/>
          </w:tcPr>
          <w:p w14:paraId="20AC85B6" w14:textId="77777777" w:rsidR="004F136F" w:rsidRPr="004F136F" w:rsidRDefault="004F136F" w:rsidP="004F136F">
            <w:pPr>
              <w:rPr>
                <w:rFonts w:ascii="Avenir Book" w:eastAsia="Times New Roman" w:hAnsi="Avenir Book" w:cs="Times New Roman"/>
                <w:color w:val="303030"/>
                <w:sz w:val="18"/>
                <w:szCs w:val="18"/>
                <w:lang w:val="cs-CZ"/>
              </w:rPr>
            </w:pPr>
            <w:r w:rsidRPr="004F136F">
              <w:rPr>
                <w:rFonts w:ascii="Avenir Book" w:eastAsia="Times New Roman" w:hAnsi="Avenir Book" w:cs="Times New Roman"/>
                <w:color w:val="303030"/>
                <w:sz w:val="18"/>
                <w:szCs w:val="18"/>
                <w:lang w:val="cs-CZ"/>
              </w:rPr>
              <w:t>2024</w:t>
            </w:r>
          </w:p>
        </w:tc>
        <w:tc>
          <w:tcPr>
            <w:tcW w:w="1754" w:type="dxa"/>
            <w:tcBorders>
              <w:bottom w:val="single" w:sz="6" w:space="0" w:color="DDE1EB"/>
            </w:tcBorders>
            <w:shd w:val="clear" w:color="auto" w:fill="FFFFFF"/>
            <w:hideMark/>
          </w:tcPr>
          <w:p w14:paraId="159265F2" w14:textId="77777777" w:rsidR="004F136F" w:rsidRPr="004F136F" w:rsidRDefault="004F136F" w:rsidP="004F136F">
            <w:pPr>
              <w:rPr>
                <w:rFonts w:ascii="Avenir Book" w:eastAsia="Times New Roman" w:hAnsi="Avenir Book" w:cs="Times New Roman"/>
                <w:color w:val="303030"/>
                <w:sz w:val="18"/>
                <w:szCs w:val="18"/>
                <w:lang w:val="cs-CZ"/>
              </w:rPr>
            </w:pPr>
            <w:r w:rsidRPr="004F136F">
              <w:rPr>
                <w:rFonts w:ascii="Avenir Book" w:eastAsia="Times New Roman" w:hAnsi="Avenir Book" w:cs="Times New Roman"/>
                <w:color w:val="303030"/>
                <w:sz w:val="18"/>
                <w:szCs w:val="18"/>
                <w:lang w:val="cs-CZ"/>
              </w:rPr>
              <w:t>Přehledový článek (Review)</w:t>
            </w:r>
          </w:p>
        </w:tc>
        <w:tc>
          <w:tcPr>
            <w:tcW w:w="475" w:type="dxa"/>
            <w:tcBorders>
              <w:bottom w:val="single" w:sz="6" w:space="0" w:color="DDE1EB"/>
            </w:tcBorders>
            <w:shd w:val="clear" w:color="auto" w:fill="FFFFFF"/>
            <w:hideMark/>
          </w:tcPr>
          <w:p w14:paraId="2C5DABB0" w14:textId="77777777" w:rsidR="004F136F" w:rsidRPr="004F136F" w:rsidRDefault="004F136F" w:rsidP="004F136F">
            <w:pPr>
              <w:rPr>
                <w:rFonts w:ascii="Avenir Book" w:eastAsia="Times New Roman" w:hAnsi="Avenir Book" w:cs="Times New Roman"/>
                <w:color w:val="303030"/>
                <w:sz w:val="18"/>
                <w:szCs w:val="18"/>
                <w:lang w:val="cs-CZ"/>
              </w:rPr>
            </w:pPr>
            <w:r w:rsidRPr="004F136F">
              <w:rPr>
                <w:rFonts w:ascii="Avenir Book" w:eastAsia="Times New Roman" w:hAnsi="Avenir Book" w:cs="Times New Roman"/>
                <w:color w:val="303030"/>
                <w:sz w:val="18"/>
                <w:szCs w:val="18"/>
                <w:lang w:val="cs-CZ"/>
              </w:rPr>
              <w:t>Neuvedeno</w:t>
            </w:r>
          </w:p>
        </w:tc>
        <w:tc>
          <w:tcPr>
            <w:tcW w:w="2693" w:type="dxa"/>
            <w:tcBorders>
              <w:bottom w:val="single" w:sz="6" w:space="0" w:color="DDE1EB"/>
            </w:tcBorders>
            <w:shd w:val="clear" w:color="auto" w:fill="FFFFFF"/>
            <w:hideMark/>
          </w:tcPr>
          <w:p w14:paraId="20905050" w14:textId="77777777" w:rsidR="004F136F" w:rsidRPr="00E10E87" w:rsidRDefault="004F136F" w:rsidP="004F136F">
            <w:pPr>
              <w:rPr>
                <w:rFonts w:ascii="Avenir Book" w:eastAsia="Times New Roman" w:hAnsi="Avenir Book" w:cs="Times New Roman"/>
                <w:color w:val="303030"/>
                <w:sz w:val="18"/>
                <w:szCs w:val="18"/>
                <w:lang w:val="cs-CZ"/>
              </w:rPr>
            </w:pPr>
            <w:r w:rsidRPr="00E10E87">
              <w:rPr>
                <w:rFonts w:ascii="Avenir Book" w:eastAsia="Times New Roman" w:hAnsi="Avenir Book" w:cs="Times New Roman"/>
                <w:color w:val="303030"/>
                <w:sz w:val="18"/>
                <w:szCs w:val="18"/>
                <w:lang w:val="cs-CZ"/>
              </w:rPr>
              <w:t>Shrnující review, které upozorňuje na to, že i přes srovnatelnou účinnost je třeba dávat pozor na optimalizaci chirurgické procedury, kvůli komplikacím typu krvácení do sklivce nebo endoftalmitidě.</w:t>
            </w:r>
          </w:p>
        </w:tc>
      </w:tr>
      <w:tr w:rsidR="004F136F" w:rsidRPr="004F136F" w14:paraId="5A96002B" w14:textId="77777777" w:rsidTr="004F136F">
        <w:tc>
          <w:tcPr>
            <w:tcW w:w="0" w:type="auto"/>
            <w:tcBorders>
              <w:bottom w:val="single" w:sz="6" w:space="0" w:color="DDE1EB"/>
            </w:tcBorders>
            <w:shd w:val="clear" w:color="auto" w:fill="FFFFFF"/>
            <w:hideMark/>
          </w:tcPr>
          <w:p w14:paraId="49B00893" w14:textId="64D9F4CC" w:rsidR="004F136F" w:rsidRPr="004F136F" w:rsidRDefault="004F136F" w:rsidP="004F136F">
            <w:pPr>
              <w:rPr>
                <w:rFonts w:ascii="Avenir Book" w:eastAsia="Times New Roman" w:hAnsi="Avenir Book" w:cs="Times New Roman"/>
                <w:color w:val="303030"/>
                <w:sz w:val="18"/>
                <w:szCs w:val="18"/>
                <w:lang w:val="cs-CZ"/>
              </w:rPr>
            </w:pPr>
            <w:r w:rsidRPr="004F136F">
              <w:rPr>
                <w:rFonts w:ascii="Avenir Book" w:eastAsia="Times New Roman" w:hAnsi="Avenir Book" w:cs="Times New Roman"/>
                <w:color w:val="303030"/>
                <w:sz w:val="18"/>
                <w:szCs w:val="18"/>
                <w:lang w:val="cs-CZ"/>
              </w:rPr>
              <w:t>Targeting vascular endothelial growth factor using retinal gene therapy</w:t>
            </w:r>
            <w:r w:rsidR="00E10E87">
              <w:rPr>
                <w:rFonts w:ascii="Avenir Book" w:eastAsia="Times New Roman" w:hAnsi="Avenir Book" w:cs="Times New Roman"/>
                <w:color w:val="303030"/>
                <w:sz w:val="18"/>
                <w:szCs w:val="18"/>
                <w:lang w:val="cs-CZ"/>
              </w:rPr>
              <w:t xml:space="preserve"> </w:t>
            </w:r>
            <w:r w:rsidR="00E10E87">
              <w:rPr>
                <w:rFonts w:ascii="Avenir Book" w:eastAsia="Times New Roman" w:hAnsi="Avenir Book" w:cs="Times New Roman"/>
                <w:color w:val="303030"/>
                <w:sz w:val="18"/>
                <w:szCs w:val="18"/>
                <w:lang w:val="cs-CZ"/>
              </w:rPr>
              <w:fldChar w:fldCharType="begin" w:fldLock="1"/>
            </w:r>
            <w:r w:rsidR="00E10E87">
              <w:rPr>
                <w:rFonts w:ascii="Avenir Book" w:eastAsia="Times New Roman" w:hAnsi="Avenir Book" w:cs="Times New Roman"/>
                <w:color w:val="303030"/>
                <w:sz w:val="18"/>
                <w:szCs w:val="18"/>
                <w:lang w:val="cs-CZ"/>
              </w:rPr>
              <w:instrText>ADDIN CSL_CITATION {"citationItems":[{"id":"ITEM-1","itemData":{"DOI":"10.21037/ATM-20-4417","ISSN":"23055839","PMID":"34532414","abstract":"Pharmacotherapies targeting vascular endothelial growth factor (VEGF) have revolutionized the management for neovascular retinal disorders including diabetic retinopathy and neovascular age-related macular degeneration. However, the burden of frequent injections, high cost, and treatment resistance in some patients remain unresolved. To overcome these challenges, newer generations of anti-angiogenic biological therapies, engineered proteins, implantable delivery systems, and biopolymers are currently being developed to enable more sustained, longer-lasting treatments. The use of gene therapies for pathologic angiogenesis has garnered renewed interests since the first FDA-approval of a gene therapy to treat inherited retinal diseases associated with biallelic RPE65 mutations. Newer generations of viral vectors and novel methods of intraocular injections helped overcome ocular barriers, improving the efficiency of transduction as well as safety profile. In addition, unlike current anti-VEGF gene therapy strategies which employ a biofactory approach to mimic existing pharmacotherapies, novel genome editing strategies that target pro-angiogenic factors at the DNA level offer a unique and distinct mechanistic approach that can potentially be more precise and lead to a permanent cure. Here, we review current anti-VEGF therapies and newer pharmacologic agents under development, examine technologies and progress in adapting anti-VEGF gene therapies, and explore the future application of CRISPR-Cas9 technology to suppress ocular angiogenesis.","author":[{"dropping-particle":"","family":"Chung","given":"Sook H.","non-dropping-particle":"","parse-names":false,"suffix":""},{"dropping-particle":"","family":"Frick","given":"Sonia L.","non-dropping-particle":"","parse-names":false,"suffix":""},{"dropping-particle":"","family":"Yiu","given":"Glenn","non-dropping-particle":"","parse-names":false,"suffix":""}],"container-title":"Annals of Translational Medicine","id":"ITEM-1","issue":"15","issued":{"date-parts":[["2021","8"]]},"page":"1277","publisher":"AME Publishing Company","title":"Targeting vascular endothelial growth factor using retinal gene therapy","type":"article-journal","volume":"9"},"uris":["http://www.mendeley.com/documents/?uuid=bdafe19a-1b2d-3d35-b2d7-498edef5d6ef"]}],"mendeley":{"formattedCitation":"[19]","plainTextFormattedCitation":"[19]","previouslyFormattedCitation":"[19]"},"properties":{"noteIndex":0},"schema":"https://github.com/citation-style-language/schema/raw/master/csl-citation.json"}</w:instrText>
            </w:r>
            <w:r w:rsidR="00E10E87">
              <w:rPr>
                <w:rFonts w:ascii="Avenir Book" w:eastAsia="Times New Roman" w:hAnsi="Avenir Book" w:cs="Times New Roman"/>
                <w:color w:val="303030"/>
                <w:sz w:val="18"/>
                <w:szCs w:val="18"/>
                <w:lang w:val="cs-CZ"/>
              </w:rPr>
              <w:fldChar w:fldCharType="separate"/>
            </w:r>
            <w:r w:rsidR="00E10E87" w:rsidRPr="00E10E87">
              <w:rPr>
                <w:rFonts w:ascii="Avenir Book" w:eastAsia="Times New Roman" w:hAnsi="Avenir Book" w:cs="Times New Roman"/>
                <w:noProof/>
                <w:color w:val="303030"/>
                <w:sz w:val="18"/>
                <w:szCs w:val="18"/>
                <w:lang w:val="cs-CZ"/>
              </w:rPr>
              <w:t>[19]</w:t>
            </w:r>
            <w:r w:rsidR="00E10E87">
              <w:rPr>
                <w:rFonts w:ascii="Avenir Book" w:eastAsia="Times New Roman" w:hAnsi="Avenir Book" w:cs="Times New Roman"/>
                <w:color w:val="303030"/>
                <w:sz w:val="18"/>
                <w:szCs w:val="18"/>
                <w:lang w:val="cs-CZ"/>
              </w:rPr>
              <w:fldChar w:fldCharType="end"/>
            </w:r>
          </w:p>
        </w:tc>
        <w:tc>
          <w:tcPr>
            <w:tcW w:w="0" w:type="auto"/>
            <w:tcBorders>
              <w:bottom w:val="single" w:sz="6" w:space="0" w:color="DDE1EB"/>
            </w:tcBorders>
            <w:shd w:val="clear" w:color="auto" w:fill="FFFFFF"/>
            <w:hideMark/>
          </w:tcPr>
          <w:p w14:paraId="0145C98C" w14:textId="77777777" w:rsidR="004F136F" w:rsidRPr="004F136F" w:rsidRDefault="004F136F" w:rsidP="004F136F">
            <w:pPr>
              <w:rPr>
                <w:rFonts w:ascii="Avenir Book" w:eastAsia="Times New Roman" w:hAnsi="Avenir Book" w:cs="Times New Roman"/>
                <w:color w:val="303030"/>
                <w:sz w:val="18"/>
                <w:szCs w:val="18"/>
                <w:lang w:val="cs-CZ"/>
              </w:rPr>
            </w:pPr>
            <w:r w:rsidRPr="004F136F">
              <w:rPr>
                <w:rFonts w:ascii="Avenir Book" w:eastAsia="Times New Roman" w:hAnsi="Avenir Book" w:cs="Times New Roman"/>
                <w:color w:val="303030"/>
                <w:sz w:val="18"/>
                <w:szCs w:val="18"/>
                <w:lang w:val="cs-CZ"/>
              </w:rPr>
              <w:t>Sook H. Chung et al.</w:t>
            </w:r>
          </w:p>
        </w:tc>
        <w:tc>
          <w:tcPr>
            <w:tcW w:w="0" w:type="auto"/>
            <w:tcBorders>
              <w:bottom w:val="single" w:sz="6" w:space="0" w:color="DDE1EB"/>
            </w:tcBorders>
            <w:shd w:val="clear" w:color="auto" w:fill="FFFFFF"/>
            <w:hideMark/>
          </w:tcPr>
          <w:p w14:paraId="6D51A0AD" w14:textId="77777777" w:rsidR="004F136F" w:rsidRPr="004F136F" w:rsidRDefault="004F136F" w:rsidP="004F136F">
            <w:pPr>
              <w:rPr>
                <w:rFonts w:ascii="Avenir Book" w:eastAsia="Times New Roman" w:hAnsi="Avenir Book" w:cs="Times New Roman"/>
                <w:color w:val="303030"/>
                <w:sz w:val="18"/>
                <w:szCs w:val="18"/>
                <w:lang w:val="cs-CZ"/>
              </w:rPr>
            </w:pPr>
            <w:r w:rsidRPr="004F136F">
              <w:rPr>
                <w:rFonts w:ascii="Avenir Book" w:eastAsia="Times New Roman" w:hAnsi="Avenir Book" w:cs="Times New Roman"/>
                <w:color w:val="303030"/>
                <w:sz w:val="18"/>
                <w:szCs w:val="18"/>
                <w:lang w:val="cs-CZ"/>
              </w:rPr>
              <w:t>2020</w:t>
            </w:r>
          </w:p>
        </w:tc>
        <w:tc>
          <w:tcPr>
            <w:tcW w:w="1754" w:type="dxa"/>
            <w:tcBorders>
              <w:bottom w:val="single" w:sz="6" w:space="0" w:color="DDE1EB"/>
            </w:tcBorders>
            <w:shd w:val="clear" w:color="auto" w:fill="FFFFFF"/>
            <w:hideMark/>
          </w:tcPr>
          <w:p w14:paraId="6F8DFC1D" w14:textId="77777777" w:rsidR="004F136F" w:rsidRPr="004F136F" w:rsidRDefault="004F136F" w:rsidP="004F136F">
            <w:pPr>
              <w:rPr>
                <w:rFonts w:ascii="Avenir Book" w:eastAsia="Times New Roman" w:hAnsi="Avenir Book" w:cs="Times New Roman"/>
                <w:color w:val="303030"/>
                <w:sz w:val="18"/>
                <w:szCs w:val="18"/>
                <w:lang w:val="cs-CZ"/>
              </w:rPr>
            </w:pPr>
            <w:r w:rsidRPr="004F136F">
              <w:rPr>
                <w:rFonts w:ascii="Avenir Book" w:eastAsia="Times New Roman" w:hAnsi="Avenir Book" w:cs="Times New Roman"/>
                <w:color w:val="303030"/>
                <w:sz w:val="18"/>
                <w:szCs w:val="18"/>
                <w:lang w:val="cs-CZ"/>
              </w:rPr>
              <w:t>Přehledový článek (Review)</w:t>
            </w:r>
          </w:p>
        </w:tc>
        <w:tc>
          <w:tcPr>
            <w:tcW w:w="475" w:type="dxa"/>
            <w:tcBorders>
              <w:bottom w:val="single" w:sz="6" w:space="0" w:color="DDE1EB"/>
            </w:tcBorders>
            <w:shd w:val="clear" w:color="auto" w:fill="FFFFFF"/>
            <w:hideMark/>
          </w:tcPr>
          <w:p w14:paraId="350DE616" w14:textId="77777777" w:rsidR="004F136F" w:rsidRPr="004F136F" w:rsidRDefault="004F136F" w:rsidP="004F136F">
            <w:pPr>
              <w:rPr>
                <w:rFonts w:ascii="Avenir Book" w:eastAsia="Times New Roman" w:hAnsi="Avenir Book" w:cs="Times New Roman"/>
                <w:color w:val="303030"/>
                <w:sz w:val="18"/>
                <w:szCs w:val="18"/>
                <w:lang w:val="cs-CZ"/>
              </w:rPr>
            </w:pPr>
            <w:r w:rsidRPr="004F136F">
              <w:rPr>
                <w:rFonts w:ascii="Avenir Book" w:eastAsia="Times New Roman" w:hAnsi="Avenir Book" w:cs="Times New Roman"/>
                <w:color w:val="303030"/>
                <w:sz w:val="18"/>
                <w:szCs w:val="18"/>
                <w:lang w:val="cs-CZ"/>
              </w:rPr>
              <w:t>Neuvedeno</w:t>
            </w:r>
          </w:p>
        </w:tc>
        <w:tc>
          <w:tcPr>
            <w:tcW w:w="2693" w:type="dxa"/>
            <w:tcBorders>
              <w:bottom w:val="single" w:sz="6" w:space="0" w:color="DDE1EB"/>
            </w:tcBorders>
            <w:shd w:val="clear" w:color="auto" w:fill="FFFFFF"/>
            <w:hideMark/>
          </w:tcPr>
          <w:p w14:paraId="7140B614" w14:textId="7BB088AA" w:rsidR="004F136F" w:rsidRPr="00E10E87" w:rsidRDefault="004F136F" w:rsidP="004F136F">
            <w:pPr>
              <w:rPr>
                <w:rFonts w:ascii="Avenir Book" w:eastAsia="Times New Roman" w:hAnsi="Avenir Book" w:cs="Times New Roman"/>
                <w:color w:val="303030"/>
                <w:sz w:val="18"/>
                <w:szCs w:val="18"/>
                <w:lang w:val="cs-CZ"/>
              </w:rPr>
            </w:pPr>
            <w:r w:rsidRPr="00E10E87">
              <w:rPr>
                <w:rFonts w:ascii="Avenir Book" w:eastAsia="Times New Roman" w:hAnsi="Avenir Book" w:cs="Times New Roman"/>
                <w:color w:val="303030"/>
                <w:sz w:val="18"/>
                <w:szCs w:val="18"/>
                <w:lang w:val="cs-CZ"/>
              </w:rPr>
              <w:t xml:space="preserve">Souhrn nejnovějších trendů v léčbě (CRISPR-Cas9, virové vektory, </w:t>
            </w:r>
            <w:r w:rsidR="00490948">
              <w:rPr>
                <w:rFonts w:ascii="Avenir Book" w:eastAsia="Times New Roman" w:hAnsi="Avenir Book" w:cs="Times New Roman"/>
                <w:color w:val="303030"/>
                <w:sz w:val="18"/>
                <w:szCs w:val="18"/>
                <w:lang w:val="cs-CZ"/>
              </w:rPr>
              <w:t>PDP</w:t>
            </w:r>
            <w:r w:rsidRPr="00E10E87">
              <w:rPr>
                <w:rFonts w:ascii="Avenir Book" w:eastAsia="Times New Roman" w:hAnsi="Avenir Book" w:cs="Times New Roman"/>
                <w:color w:val="303030"/>
                <w:sz w:val="18"/>
                <w:szCs w:val="18"/>
                <w:lang w:val="cs-CZ"/>
              </w:rPr>
              <w:t xml:space="preserve"> a hydrogely) směřujících k překonání krátkodobosti účinku a nutnosti častých návštěv.</w:t>
            </w:r>
          </w:p>
        </w:tc>
      </w:tr>
      <w:tr w:rsidR="004F136F" w:rsidRPr="004F136F" w14:paraId="20259205" w14:textId="77777777" w:rsidTr="004F136F">
        <w:tc>
          <w:tcPr>
            <w:tcW w:w="0" w:type="auto"/>
            <w:tcBorders>
              <w:bottom w:val="single" w:sz="6" w:space="0" w:color="DDE1EB"/>
            </w:tcBorders>
            <w:shd w:val="clear" w:color="auto" w:fill="FFFFFF"/>
            <w:hideMark/>
          </w:tcPr>
          <w:p w14:paraId="306F8CD8" w14:textId="26D0F82C" w:rsidR="004F136F" w:rsidRPr="004F136F" w:rsidRDefault="004F136F" w:rsidP="004F136F">
            <w:pPr>
              <w:rPr>
                <w:rFonts w:ascii="Avenir Book" w:eastAsia="Times New Roman" w:hAnsi="Avenir Book" w:cs="Times New Roman"/>
                <w:color w:val="303030"/>
                <w:sz w:val="18"/>
                <w:szCs w:val="18"/>
                <w:lang w:val="cs-CZ"/>
              </w:rPr>
            </w:pPr>
            <w:r w:rsidRPr="004F136F">
              <w:rPr>
                <w:rFonts w:ascii="Avenir Book" w:eastAsia="Times New Roman" w:hAnsi="Avenir Book" w:cs="Times New Roman"/>
                <w:color w:val="303030"/>
                <w:sz w:val="18"/>
                <w:szCs w:val="18"/>
                <w:lang w:val="cs-CZ"/>
              </w:rPr>
              <w:t>The port delivery system with ranibizumab: understanding nuances for clinical use in the real world</w:t>
            </w:r>
            <w:r w:rsidR="00E10E87">
              <w:rPr>
                <w:rFonts w:ascii="Avenir Book" w:eastAsia="Times New Roman" w:hAnsi="Avenir Book" w:cs="Times New Roman"/>
                <w:color w:val="303030"/>
                <w:sz w:val="18"/>
                <w:szCs w:val="18"/>
                <w:lang w:val="cs-CZ"/>
              </w:rPr>
              <w:t xml:space="preserve"> </w:t>
            </w:r>
            <w:r w:rsidR="00E10E87">
              <w:rPr>
                <w:rFonts w:ascii="Avenir Book" w:eastAsia="Times New Roman" w:hAnsi="Avenir Book" w:cs="Times New Roman"/>
                <w:color w:val="303030"/>
                <w:sz w:val="18"/>
                <w:szCs w:val="18"/>
                <w:lang w:val="cs-CZ"/>
              </w:rPr>
              <w:fldChar w:fldCharType="begin" w:fldLock="1"/>
            </w:r>
            <w:r w:rsidR="00B75CF9">
              <w:rPr>
                <w:rFonts w:ascii="Avenir Book" w:eastAsia="Times New Roman" w:hAnsi="Avenir Book" w:cs="Times New Roman"/>
                <w:color w:val="303030"/>
                <w:sz w:val="18"/>
                <w:szCs w:val="18"/>
                <w:lang w:val="cs-CZ"/>
              </w:rPr>
              <w:instrText>ADDIN CSL_CITATION {"citationItems":[{"id":"ITEM-1","itemData":{"DOI":"10.1080/14712598.2022.2078162","ISSN":"1744-7682","PMID":"35549582","author":[{"dropping-particle":"","family":"Sharma","given":"Ashish","non-dropping-particle":"","parse-names":false,"suffix":""},{"dropping-particle":"","family":"Parachuri","given":"Nikulaa","non-dropping-particle":"","parse-names":false,"suffix":""},{"dropping-particle":"","family":"Kumar","given":"Nilesh","non-dropping-particle":"","parse-names":false,"suffix":""},{"dropping-particle":"","family":"Kuppermann","given":"Baruch D.","non-dropping-particle":"","parse-names":false,"suffix":""},{"dropping-particle":"","family":"Bandello","given":"Francesco","non-dropping-particle":"","parse-names":false,"suffix":""},{"dropping-particle":"","family":"Regillo","given":"Carl D.","non-dropping-particle":"","parse-names":false,"suffix":""}],"container-title":"Expert opinion on biological therapy","id":"ITEM-1","issue":"6","issued":{"date-parts":[["2022"]]},"page":"675-677","publisher":"Expert Opin Biol Ther","title":"The port delivery system with ranibizumab: understanding nuances for clinical use in the real world","type":"article-journal","volume":"22"},"uris":["http://www.mendeley.com/documents/?uuid=de47ec1c-996d-3881-82dc-db6e1a99394c"]}],"mendeley":{"formattedCitation":"[20]","plainTextFormattedCitation":"[20]","previouslyFormattedCitation":"[20]"},"properties":{"noteIndex":0},"schema":"https://github.com/citation-style-language/schema/raw/master/csl-citation.json"}</w:instrText>
            </w:r>
            <w:r w:rsidR="00E10E87">
              <w:rPr>
                <w:rFonts w:ascii="Avenir Book" w:eastAsia="Times New Roman" w:hAnsi="Avenir Book" w:cs="Times New Roman"/>
                <w:color w:val="303030"/>
                <w:sz w:val="18"/>
                <w:szCs w:val="18"/>
                <w:lang w:val="cs-CZ"/>
              </w:rPr>
              <w:fldChar w:fldCharType="separate"/>
            </w:r>
            <w:r w:rsidR="00E10E87" w:rsidRPr="00E10E87">
              <w:rPr>
                <w:rFonts w:ascii="Avenir Book" w:eastAsia="Times New Roman" w:hAnsi="Avenir Book" w:cs="Times New Roman"/>
                <w:noProof/>
                <w:color w:val="303030"/>
                <w:sz w:val="18"/>
                <w:szCs w:val="18"/>
                <w:lang w:val="cs-CZ"/>
              </w:rPr>
              <w:t>[20]</w:t>
            </w:r>
            <w:r w:rsidR="00E10E87">
              <w:rPr>
                <w:rFonts w:ascii="Avenir Book" w:eastAsia="Times New Roman" w:hAnsi="Avenir Book" w:cs="Times New Roman"/>
                <w:color w:val="303030"/>
                <w:sz w:val="18"/>
                <w:szCs w:val="18"/>
                <w:lang w:val="cs-CZ"/>
              </w:rPr>
              <w:fldChar w:fldCharType="end"/>
            </w:r>
          </w:p>
        </w:tc>
        <w:tc>
          <w:tcPr>
            <w:tcW w:w="0" w:type="auto"/>
            <w:tcBorders>
              <w:bottom w:val="single" w:sz="6" w:space="0" w:color="DDE1EB"/>
            </w:tcBorders>
            <w:shd w:val="clear" w:color="auto" w:fill="FFFFFF"/>
            <w:hideMark/>
          </w:tcPr>
          <w:p w14:paraId="427B0FAA" w14:textId="77777777" w:rsidR="004F136F" w:rsidRPr="004F136F" w:rsidRDefault="004F136F" w:rsidP="004F136F">
            <w:pPr>
              <w:rPr>
                <w:rFonts w:ascii="Avenir Book" w:eastAsia="Times New Roman" w:hAnsi="Avenir Book" w:cs="Times New Roman"/>
                <w:color w:val="303030"/>
                <w:sz w:val="18"/>
                <w:szCs w:val="18"/>
                <w:lang w:val="cs-CZ"/>
              </w:rPr>
            </w:pPr>
            <w:r w:rsidRPr="004F136F">
              <w:rPr>
                <w:rFonts w:ascii="Avenir Book" w:eastAsia="Times New Roman" w:hAnsi="Avenir Book" w:cs="Times New Roman"/>
                <w:color w:val="303030"/>
                <w:sz w:val="18"/>
                <w:szCs w:val="18"/>
                <w:lang w:val="cs-CZ"/>
              </w:rPr>
              <w:t>Ashish Sharma et al.</w:t>
            </w:r>
          </w:p>
        </w:tc>
        <w:tc>
          <w:tcPr>
            <w:tcW w:w="0" w:type="auto"/>
            <w:tcBorders>
              <w:bottom w:val="single" w:sz="6" w:space="0" w:color="DDE1EB"/>
            </w:tcBorders>
            <w:shd w:val="clear" w:color="auto" w:fill="FFFFFF"/>
            <w:hideMark/>
          </w:tcPr>
          <w:p w14:paraId="0614B465" w14:textId="77777777" w:rsidR="004F136F" w:rsidRPr="004F136F" w:rsidRDefault="004F136F" w:rsidP="004F136F">
            <w:pPr>
              <w:rPr>
                <w:rFonts w:ascii="Avenir Book" w:eastAsia="Times New Roman" w:hAnsi="Avenir Book" w:cs="Times New Roman"/>
                <w:color w:val="303030"/>
                <w:sz w:val="18"/>
                <w:szCs w:val="18"/>
                <w:lang w:val="cs-CZ"/>
              </w:rPr>
            </w:pPr>
            <w:r w:rsidRPr="004F136F">
              <w:rPr>
                <w:rFonts w:ascii="Avenir Book" w:eastAsia="Times New Roman" w:hAnsi="Avenir Book" w:cs="Times New Roman"/>
                <w:color w:val="303030"/>
                <w:sz w:val="18"/>
                <w:szCs w:val="18"/>
                <w:lang w:val="cs-CZ"/>
              </w:rPr>
              <w:t>2022</w:t>
            </w:r>
          </w:p>
        </w:tc>
        <w:tc>
          <w:tcPr>
            <w:tcW w:w="1754" w:type="dxa"/>
            <w:tcBorders>
              <w:bottom w:val="single" w:sz="6" w:space="0" w:color="DDE1EB"/>
            </w:tcBorders>
            <w:shd w:val="clear" w:color="auto" w:fill="FFFFFF"/>
            <w:hideMark/>
          </w:tcPr>
          <w:p w14:paraId="63592CAE" w14:textId="77777777" w:rsidR="004F136F" w:rsidRPr="004F136F" w:rsidRDefault="004F136F" w:rsidP="004F136F">
            <w:pPr>
              <w:rPr>
                <w:rFonts w:ascii="Avenir Book" w:eastAsia="Times New Roman" w:hAnsi="Avenir Book" w:cs="Times New Roman"/>
                <w:color w:val="303030"/>
                <w:sz w:val="18"/>
                <w:szCs w:val="18"/>
                <w:lang w:val="cs-CZ"/>
              </w:rPr>
            </w:pPr>
            <w:r w:rsidRPr="004F136F">
              <w:rPr>
                <w:rFonts w:ascii="Avenir Book" w:eastAsia="Times New Roman" w:hAnsi="Avenir Book" w:cs="Times New Roman"/>
                <w:color w:val="303030"/>
                <w:sz w:val="18"/>
                <w:szCs w:val="18"/>
                <w:lang w:val="cs-CZ"/>
              </w:rPr>
              <w:t>Odborný názor (Expert Opinion / Editorial)</w:t>
            </w:r>
          </w:p>
        </w:tc>
        <w:tc>
          <w:tcPr>
            <w:tcW w:w="475" w:type="dxa"/>
            <w:tcBorders>
              <w:bottom w:val="single" w:sz="6" w:space="0" w:color="DDE1EB"/>
            </w:tcBorders>
            <w:shd w:val="clear" w:color="auto" w:fill="FFFFFF"/>
            <w:hideMark/>
          </w:tcPr>
          <w:p w14:paraId="6F13EC92" w14:textId="77777777" w:rsidR="004F136F" w:rsidRPr="004F136F" w:rsidRDefault="004F136F" w:rsidP="004F136F">
            <w:pPr>
              <w:rPr>
                <w:rFonts w:ascii="Avenir Book" w:eastAsia="Times New Roman" w:hAnsi="Avenir Book" w:cs="Times New Roman"/>
                <w:color w:val="303030"/>
                <w:sz w:val="18"/>
                <w:szCs w:val="18"/>
                <w:lang w:val="cs-CZ"/>
              </w:rPr>
            </w:pPr>
            <w:r w:rsidRPr="004F136F">
              <w:rPr>
                <w:rFonts w:ascii="Avenir Book" w:eastAsia="Times New Roman" w:hAnsi="Avenir Book" w:cs="Times New Roman"/>
                <w:color w:val="303030"/>
                <w:sz w:val="18"/>
                <w:szCs w:val="18"/>
                <w:lang w:val="cs-CZ"/>
              </w:rPr>
              <w:t>Neuvedeno</w:t>
            </w:r>
          </w:p>
        </w:tc>
        <w:tc>
          <w:tcPr>
            <w:tcW w:w="2693" w:type="dxa"/>
            <w:shd w:val="clear" w:color="auto" w:fill="FFFFFF"/>
            <w:vAlign w:val="center"/>
            <w:hideMark/>
          </w:tcPr>
          <w:p w14:paraId="6A678350" w14:textId="77777777" w:rsidR="004F136F" w:rsidRPr="004F136F" w:rsidRDefault="004F136F" w:rsidP="004F136F">
            <w:pPr>
              <w:rPr>
                <w:rFonts w:ascii="Avenir Book" w:eastAsia="Times New Roman" w:hAnsi="Avenir Book" w:cs="Times New Roman"/>
                <w:sz w:val="18"/>
                <w:szCs w:val="18"/>
                <w:lang w:val="cs-CZ"/>
              </w:rPr>
            </w:pPr>
          </w:p>
        </w:tc>
      </w:tr>
    </w:tbl>
    <w:p w14:paraId="00000013" w14:textId="77777777" w:rsidR="006369AE" w:rsidRDefault="006369AE"/>
    <w:p w14:paraId="00000014" w14:textId="77777777" w:rsidR="006369AE" w:rsidRDefault="00000000">
      <w:pPr>
        <w:pStyle w:val="Nadpis2"/>
        <w:numPr>
          <w:ilvl w:val="1"/>
          <w:numId w:val="1"/>
        </w:numPr>
        <w:ind w:hanging="432"/>
      </w:pPr>
      <w:r>
        <w:t>Terapeutická indikace</w:t>
      </w:r>
    </w:p>
    <w:p w14:paraId="00000015" w14:textId="0E811C08" w:rsidR="006369AE" w:rsidRDefault="00000000">
      <w:r>
        <w:t>Systém Port Delivery Platform je určen ke kontinuálnímu intravitreálnímu podávání léčiva (ranibizumabu v koncentraci 100 mg/ml).</w:t>
      </w:r>
      <w:r w:rsidR="00B75CF9">
        <w:t xml:space="preserve"> </w:t>
      </w:r>
      <w:r w:rsidR="00B75CF9">
        <w:fldChar w:fldCharType="begin" w:fldLock="1"/>
      </w:r>
      <w:r w:rsidR="00B75CF9">
        <w:instrText>ADDIN CSL_CITATION {"citationItems":[{"id":"ITEM-1","itemData":{"author":[{"dropping-particle":"","family":"Genentech Inc. A Member of the Roche Group","given":"","non-dropping-particle":"","parse-names":false,"suffix":""}],"id":"ITEM-1","issued":{"date-parts":[["2024"]]},"page":"59","publisher-place":"San Francisco","title":"Instructions For Use Port Delivery System with Ranibizumab, TEC-0124315, Version 16.0, 2024-06-19","type":"article"},"uris":["http://www.mendeley.com/documents/?uuid=047426c3-6b70-4ac3-a865-90ff8ac676f8"]},{"id":"ITEM-2","itemData":{"DOI":"10.1080/14712598.2022.2078162","ISSN":"1744-7682","PMID":"35549582","author":[{"dropping-particle":"","family":"Sharma","given":"Ashish","non-dropping-particle":"","parse-names":false,"suffix":""},{"dropping-particle":"","family":"Parachuri","given":"Nikulaa","non-dropping-particle":"","parse-names":false,"suffix":""},{"dropping-particle":"","family":"Kumar","given":"Nilesh","non-dropping-particle":"","parse-names":false,"suffix":""},{"dropping-particle":"","family":"Kuppermann","given":"Baruch D.","non-dropping-particle":"","parse-names":false,"suffix":""},{"dropping-particle":"","family":"Bandello","given":"Francesco","non-dropping-particle":"","parse-names":false,"suffix":""},{"dropping-particle":"","family":"Regillo","given":"Carl D.","non-dropping-particle":"","parse-names":false,"suffix":""}],"container-title":"Expert opinion on biological therapy","id":"ITEM-2","issue":"6","issued":{"date-parts":[["2022"]]},"page":"675-677","publisher":"Expert Opin Biol Ther","title":"The port delivery system with ranibizumab: understanding nuances for clinical use in the real world","type":"article-journal","volume":"22"},"uris":["http://www.mendeley.com/documents/?uuid=de47ec1c-996d-3881-82dc-db6e1a99394c"]}],"mendeley":{"formattedCitation":"[1, 20]","plainTextFormattedCitation":"[1, 20]","previouslyFormattedCitation":"[1, 20]"},"properties":{"noteIndex":0},"schema":"https://github.com/citation-style-language/schema/raw/master/csl-citation.json"}</w:instrText>
      </w:r>
      <w:r w:rsidR="00B75CF9">
        <w:fldChar w:fldCharType="separate"/>
      </w:r>
      <w:r w:rsidR="00B75CF9" w:rsidRPr="00B75CF9">
        <w:rPr>
          <w:noProof/>
        </w:rPr>
        <w:t>[1, 20]</w:t>
      </w:r>
      <w:r w:rsidR="00B75CF9">
        <w:fldChar w:fldCharType="end"/>
      </w:r>
    </w:p>
    <w:p w14:paraId="00000016" w14:textId="77777777" w:rsidR="006369AE" w:rsidRDefault="00000000">
      <w:r>
        <w:t>Obecně je tento systém vyvinut a určen pro léčbu následujících očních onemocnění:</w:t>
      </w:r>
    </w:p>
    <w:p w14:paraId="00000017" w14:textId="0B9A1499" w:rsidR="006369AE" w:rsidRDefault="00000000">
      <w:pPr>
        <w:numPr>
          <w:ilvl w:val="0"/>
          <w:numId w:val="4"/>
        </w:numPr>
        <w:pBdr>
          <w:top w:val="nil"/>
          <w:left w:val="nil"/>
          <w:bottom w:val="nil"/>
          <w:right w:val="nil"/>
          <w:between w:val="nil"/>
        </w:pBdr>
      </w:pPr>
      <w:r>
        <w:rPr>
          <w:color w:val="000000"/>
        </w:rPr>
        <w:t>Neovaskulární (vlhká) věkem podmíněná makulární degenerace (nAMD/wAMD</w:t>
      </w:r>
      <w:r w:rsidR="00ED19F2">
        <w:rPr>
          <w:color w:val="000000"/>
        </w:rPr>
        <w:t>, označována také jako VPMD</w:t>
      </w:r>
      <w:r>
        <w:rPr>
          <w:color w:val="000000"/>
        </w:rPr>
        <w:t>).</w:t>
      </w:r>
    </w:p>
    <w:p w14:paraId="00000018" w14:textId="77777777" w:rsidR="006369AE" w:rsidRDefault="00000000">
      <w:pPr>
        <w:numPr>
          <w:ilvl w:val="0"/>
          <w:numId w:val="4"/>
        </w:numPr>
        <w:pBdr>
          <w:top w:val="nil"/>
          <w:left w:val="nil"/>
          <w:bottom w:val="nil"/>
          <w:right w:val="nil"/>
          <w:between w:val="nil"/>
        </w:pBdr>
      </w:pPr>
      <w:r>
        <w:rPr>
          <w:color w:val="000000"/>
        </w:rPr>
        <w:t>Diabetický makulární edém (DME).</w:t>
      </w:r>
    </w:p>
    <w:p w14:paraId="00000019" w14:textId="77777777" w:rsidR="006369AE" w:rsidRPr="00ED19F2" w:rsidRDefault="00000000">
      <w:pPr>
        <w:numPr>
          <w:ilvl w:val="0"/>
          <w:numId w:val="4"/>
        </w:numPr>
        <w:pBdr>
          <w:top w:val="nil"/>
          <w:left w:val="nil"/>
          <w:bottom w:val="nil"/>
          <w:right w:val="nil"/>
          <w:between w:val="nil"/>
        </w:pBdr>
      </w:pPr>
      <w:r>
        <w:rPr>
          <w:color w:val="000000"/>
        </w:rPr>
        <w:t>Diabetická retinopatie (DR).</w:t>
      </w:r>
    </w:p>
    <w:p w14:paraId="0B75ED2C" w14:textId="77777777" w:rsidR="00ED19F2" w:rsidRDefault="00ED19F2" w:rsidP="00ED19F2">
      <w:pPr>
        <w:pBdr>
          <w:top w:val="nil"/>
          <w:left w:val="nil"/>
          <w:bottom w:val="nil"/>
          <w:right w:val="nil"/>
          <w:between w:val="nil"/>
        </w:pBdr>
        <w:rPr>
          <w:color w:val="000000"/>
        </w:rPr>
      </w:pPr>
    </w:p>
    <w:p w14:paraId="34312DBE" w14:textId="5B8DE2F6" w:rsidR="00ED19F2" w:rsidRDefault="00E10E87" w:rsidP="00ED19F2">
      <w:pPr>
        <w:pBdr>
          <w:top w:val="nil"/>
          <w:left w:val="nil"/>
          <w:bottom w:val="nil"/>
          <w:right w:val="nil"/>
          <w:between w:val="nil"/>
        </w:pBdr>
        <w:rPr>
          <w:color w:val="000000"/>
        </w:rPr>
      </w:pPr>
      <w:r>
        <w:t xml:space="preserve">V České republice je v současné době pro léčbu výše uvedených indikací výkon </w:t>
      </w:r>
      <w:r w:rsidRPr="00E10E87">
        <w:rPr>
          <w:color w:val="000000"/>
        </w:rPr>
        <w:t>75231</w:t>
      </w:r>
      <w:r>
        <w:rPr>
          <w:color w:val="000000"/>
        </w:rPr>
        <w:t xml:space="preserve"> Aplikace léků a léčebných prostředků do sklivcového prostoru. Jako léčiva, která se používají jsou uváděny např. AntiVEGF, Lucentis a další. Po dohodě s odborníky</w:t>
      </w:r>
      <w:r>
        <w:rPr>
          <w:rStyle w:val="Znakapoznpodarou"/>
          <w:color w:val="000000"/>
        </w:rPr>
        <w:footnoteReference w:id="1"/>
      </w:r>
      <w:r>
        <w:rPr>
          <w:color w:val="000000"/>
        </w:rPr>
        <w:t xml:space="preserve"> byl pro srovnání použit Lucentis</w:t>
      </w:r>
      <w:r w:rsidR="00546578">
        <w:rPr>
          <w:color w:val="000000"/>
        </w:rPr>
        <w:t xml:space="preserve"> s obsahem léčivé látky ranibizumab</w:t>
      </w:r>
      <w:r w:rsidR="004F44EE">
        <w:rPr>
          <w:color w:val="000000"/>
        </w:rPr>
        <w:t xml:space="preserve"> v koncentraci 10 mg / ml</w:t>
      </w:r>
      <w:r w:rsidR="00546578">
        <w:rPr>
          <w:color w:val="000000"/>
        </w:rPr>
        <w:t xml:space="preserve"> určený k</w:t>
      </w:r>
      <w:r w:rsidR="004F44EE">
        <w:rPr>
          <w:color w:val="000000"/>
        </w:rPr>
        <w:t> podání intravitreální injekcí</w:t>
      </w:r>
      <w:r>
        <w:rPr>
          <w:rStyle w:val="Znakapoznpodarou"/>
          <w:color w:val="000000"/>
        </w:rPr>
        <w:footnoteReference w:id="2"/>
      </w:r>
      <w:r>
        <w:rPr>
          <w:color w:val="000000"/>
        </w:rPr>
        <w:t xml:space="preserve">. </w:t>
      </w:r>
    </w:p>
    <w:p w14:paraId="1283143B" w14:textId="77777777" w:rsidR="00B75CF9" w:rsidRDefault="00B75CF9" w:rsidP="00ED19F2">
      <w:pPr>
        <w:pBdr>
          <w:top w:val="nil"/>
          <w:left w:val="nil"/>
          <w:bottom w:val="nil"/>
          <w:right w:val="nil"/>
          <w:between w:val="nil"/>
        </w:pBdr>
      </w:pPr>
    </w:p>
    <w:p w14:paraId="0000001A" w14:textId="77777777" w:rsidR="006369AE" w:rsidRDefault="00000000">
      <w:pPr>
        <w:pStyle w:val="Nadpis2"/>
        <w:numPr>
          <w:ilvl w:val="1"/>
          <w:numId w:val="1"/>
        </w:numPr>
        <w:ind w:hanging="432"/>
      </w:pPr>
      <w:bookmarkStart w:id="0" w:name="_Ref228866257"/>
      <w:r>
        <w:t>Relevantní komparátory</w:t>
      </w:r>
      <w:bookmarkEnd w:id="0"/>
    </w:p>
    <w:p w14:paraId="0000001B" w14:textId="77777777" w:rsidR="006369AE" w:rsidRDefault="00000000">
      <w:pPr>
        <w:jc w:val="both"/>
      </w:pPr>
      <w:r>
        <w:t xml:space="preserve">Systém je napříč všemi dokumenty i fázemi klinického testování srovnáván se současným zlatým standardem oční péče. </w:t>
      </w:r>
    </w:p>
    <w:p w14:paraId="5E531C25" w14:textId="77777777" w:rsidR="00B75CF9" w:rsidRDefault="00B75CF9">
      <w:pPr>
        <w:jc w:val="both"/>
      </w:pPr>
    </w:p>
    <w:p w14:paraId="0000001C" w14:textId="4529CDA4" w:rsidR="006369AE" w:rsidRDefault="00B75CF9">
      <w:pPr>
        <w:jc w:val="both"/>
      </w:pPr>
      <w:r>
        <w:t>Tedy jak bylo uvedeno výše, konkrétně se srovnává s výkonem:</w:t>
      </w:r>
    </w:p>
    <w:p w14:paraId="0000001D" w14:textId="7B1E24CE" w:rsidR="006369AE" w:rsidRDefault="00E10E87">
      <w:pPr>
        <w:numPr>
          <w:ilvl w:val="0"/>
          <w:numId w:val="3"/>
        </w:numPr>
        <w:pBdr>
          <w:top w:val="nil"/>
          <w:left w:val="nil"/>
          <w:bottom w:val="nil"/>
          <w:right w:val="nil"/>
          <w:between w:val="nil"/>
        </w:pBdr>
        <w:jc w:val="both"/>
      </w:pPr>
      <w:r>
        <w:rPr>
          <w:color w:val="000000"/>
        </w:rPr>
        <w:t xml:space="preserve">Aplikace léků a léčebných prostředků do sklivcového prostoru, konkrétně ranibizumabu (0,5 mg): V klíčových registračních studiích (např. </w:t>
      </w:r>
      <w:sdt>
        <w:sdtPr>
          <w:tag w:val="goog_rdk_2"/>
          <w:id w:val="-85290945"/>
        </w:sdtPr>
        <w:sdtContent/>
      </w:sdt>
      <w:r>
        <w:rPr>
          <w:color w:val="000000"/>
        </w:rPr>
        <w:t>studie Archway pro nAMD</w:t>
      </w:r>
      <w:r w:rsidR="00D06F7E">
        <w:rPr>
          <w:color w:val="000000"/>
        </w:rPr>
        <w:t>/VPMD</w:t>
      </w:r>
      <w:r>
        <w:rPr>
          <w:color w:val="000000"/>
        </w:rPr>
        <w:t xml:space="preserve"> nebo Pagoda pro DME) je platforma PDP (s doplňováním jednou za 24 týdnů) napřímo srovnávána s režimem každoměsíčních injekcí.</w:t>
      </w:r>
      <w:r w:rsidR="00B75CF9">
        <w:rPr>
          <w:color w:val="000000"/>
        </w:rPr>
        <w:t xml:space="preserve"> </w:t>
      </w:r>
      <w:r w:rsidR="00B75CF9">
        <w:rPr>
          <w:color w:val="000000"/>
        </w:rPr>
        <w:fldChar w:fldCharType="begin" w:fldLock="1"/>
      </w:r>
      <w:r w:rsidR="00871F87">
        <w:rPr>
          <w:color w:val="000000"/>
        </w:rPr>
        <w:instrText>ADDIN CSL_CITATION {"citationItems":[{"id":"ITEM-1","itemData":{"DOI":"10.1002/JCPH.2290","ISSN":"1552-4604","PMID":"37291950","abstract":"The port delivery system with ranibizumab (PDS) is designed to continuously deliver ranibizumab to maintain therapeutic drug concentrations in the vitreous of the eye for an extended duration. The PDS has been evaluated for the treatment of neovascular age-related macular degeneration in the Ladder (PDS 10, 40, and 100 mg/mL, with refill exchanges as needed, versus monthly intravitreal ranibizumab 0.5 mg), Archway (PDS 100 mg/mL with 24-week refill exchanges, versus monthly intravitreal ranibizumab 0.5 mg), and ongoing Portal (PDS 100 mg/mL with 24-week refill exchanges) clinical trials. Data from Ladder, Archway, and Portal were used to develop a population pharmacokinetics (PK) model to estimate the ranibizumab release rate from the PDS implant, describe ranibizumab PK in serum and aqueous humor, and predict the concentration in vitreous humor. A model was developed to adequately describe the serum and aqueous humor PK data, as suggested by goodness-of-fit plots as well as visual predictive checks. In the final model, the first-order implant release rate was estimated to be 0.00654 (1/day), corresponding to a half-life of 106 days, consistent with the implant release rate determined in vitro. The model-predicted vitreous concentrations achieved with PDS 100 mg/mL given every 24 weeks were below the intravitreal peak concentration and above the intravitreal trough concentration of ranibizumab over the entire 24-week refill interval. The results demonstrate a durable release of ranibizumab from the PDS with a half-life of 106 days, providing vitreous exposure to ranibizumab for at least 24 weeks that is within the range of exposure for monthly intravitreal treatment.","author":[{"dropping-particle":"","family":"Kågedal","given":"Matts","non-dropping-particle":"","parse-names":false,"suffix":""},{"dropping-particle":"","family":"Alskär","given":"Oskar","non-dropping-particle":"","parse-names":false,"suffix":""},{"dropping-particle":"","family":"Petersson","given":"Klas","non-dropping-particle":"","parse-names":false,"suffix":""},{"dropping-particle":"","family":"Hanze","given":"Eva","non-dropping-particle":"","parse-names":false,"suffix":""},{"dropping-particle":"","family":"Maia","given":"Mauricio","non-dropping-particle":"","parse-names":false,"suffix":""},{"dropping-particle":"","family":"Lu","given":"Tong","non-dropping-particle":"","parse-names":false,"suffix":""},{"dropping-particle":"","family":"Vakhavkar","given":"Shweta","non-dropping-particle":"","parse-names":false,"suffix":""},{"dropping-particle":"","family":"Quartino","given":"Angelica","non-dropping-particle":"","parse-names":false,"suffix":""},{"dropping-particle":"","family":"Willis","given":"Jeffrey R.","non-dropping-particle":"","parse-names":false,"suffix":""},{"dropping-particle":"","family":"Jin","given":"Jin Y.","non-dropping-particle":"","parse-names":false,"suffix":""},{"dropping-particle":"","family":"Maass","given":"Katie F.","non-dropping-particle":"","parse-names":false,"suffix":""}],"container-title":"Journal of clinical pharmacology","id":"ITEM-1","issue":"11","issued":{"date-parts":[["2023","11","1"]]},"page":"1210-1220","publisher":"J Clin Pharmacol","title":"Population Pharmacokinetics of Ranibizumab Delivered via the Port Delivery System Implanted in the Eye in Patients with Neovascular Age-Related Macular Degeneration","type":"article-journal","volume":"63"},"uris":["http://www.mendeley.com/documents/?uuid=44e5c34e-299f-3b4b-ad55-329fca8febfa"]},{"id":"ITEM-2","itemData":{"DOI":"10.3390/PHARMACEUTICS16030314","ISSN":"1999-4923","PMID":"38543208","abstract":"The ranibizumab (RBZ) port delivery system (PDS) is a device designed to continuously deliver RBZ in the vitreous chamber for the treatment of neovascular age-related macular degeneration (nAMD). It is implanted during a surgical procedure and can provide sustained release of the medication for several months. This review, updated to January 2024, focuses on past clinical studies as well as current and forthcoming trials looking into a PDS with RBZ. In the phase 2 LADDER trial, the mean time to first refill of a PDS with RBZ 100 mg/mL was 15.8 months, with the pharmacokinetic (PK) profile showing a sustained concentration of RBZ in the blood and aqueous humor. More recently, a PDS with RBZ (100 mg/mL) refilled every 24 weeks was shown to be non-inferior to a monthly intravitreal injection (IVI) with RBZ (0.5 mg) over 40 and 92 weeks in the phase 3 ARCHWAY trial. The refill every 24 weeks allowed for a RBZ vitreous exposure within the concentration range of monthly intravitreal injections (IVIs), and the expected half-life (106 days) was comparable with the in vitro results. Nonetheless, vitreous hemorrhage and endophthalmitis were more common side effects in PDS patients. In conclusion, a PDS continuously delivering RBZ has a clinical effectiveness level comparable with IVI treatment. However, a greater frequency of unfavorable occurrences highlights the need for procedure optimization for a wider adoption. Ongoing trials and possible future approaches need to be addressed.","author":[{"dropping-particle":"","family":"Carlà","given":"Matteo Mario","non-dropping-particle":"","parse-names":false,"suffix":""},{"dropping-particle":"","family":"Savastano","given":"Maria Cristina","non-dropping-particle":"","parse-names":false,"suffix":""},{"dropping-particle":"","family":"Boselli","given":"Francesco","non-dropping-particle":"","parse-names":false,"suffix":""},{"dropping-particle":"","family":"Giannuzzi","given":"Federico","non-dropping-particle":"","parse-names":false,"suffix":""},{"dropping-particle":"","family":"Rizzo","given":"Stanislao","non-dropping-particle":"","parse-names":false,"suffix":""}],"container-title":"Pharmaceutics","id":"ITEM-2","issue":"3","issued":{"date-parts":[["2024","3","1"]]},"publisher":"Pharmaceutics","title":"Ranibizumab Port Delivery System in Neovascular Age-Related Macular Degeneration: Where Do We Stand? Overview of Pharmacokinetics, Clinical Results, and Future Directions","type":"article-journal","volume":"16"},"uris":["http://www.mendeley.com/documents/?uuid=cd245a02-d8b0-35f0-aeca-ddc8dfb8a522"]},{"id":"ITEM-3","itemData":{"DOI":"10.1016/j.ophtha.2023.02.024","ISSN":"15494713","PMID":"36870451","abstract":"Purpose: To report 2-year results from the Archway clinical trial of the Port Delivery System with ranibizumab (PDS) for treatment of neovascular age-related macular degeneration (nAMD). Design: Phase 3, randomized, multicenter, open-label, active-comparator–controlled trial. Participants: Patients with previously treated nAMD diagnosed within 9 months of screening and responsive to anti–vascular endothelial growth factor therapy. Methods: Patients were randomized 3:2 to PDS with ranibizumab 100 mg/ml with fixed refill-exchanges every 24 weeks (PDS Q24W) or intravitreal ranibizumab 0.5 mg injections every 4 weeks (monthly ranibizumab). Patients were followed through 4 complete refill-exchange intervals (</w:instrText>
      </w:r>
      <w:r w:rsidR="00871F87">
        <w:rPr>
          <w:rFonts w:ascii="Cambria Math" w:hAnsi="Cambria Math" w:cs="Cambria Math"/>
          <w:color w:val="000000"/>
        </w:rPr>
        <w:instrText>∼</w:instrText>
      </w:r>
      <w:r w:rsidR="00871F87">
        <w:rPr>
          <w:color w:val="000000"/>
        </w:rPr>
        <w:instrText>2 years). Main Outcome Measures: Change in best-corrected visual acuity (BCVA) Early Treatment Diabetic Retinopathy Study (ETDRS) letter score from baseline averaged over weeks 44 and 48, weeks 60 and 64, and weeks 88 and 92 (noninferiority margin, –3.9 ETDRS letters). Results: The PDS Q24W was noninferior to monthly ranibizumab, with differences in adjusted mean change in BCVA score from baseline averaged over weeks 44/48, 60/64 and 88/92 of –0.2 (95% confidence interval [CI], –1.8 to +1.3), +0.4 (95% CI, –1.4 to +2.1) and –0.6 ETDRS letters (95% CI, –2.5 to +1.3), respectively. Anatomic outcomes were generally comparable between arms through week 96. Through each of 4 PDS refill-exchange intervals, 98.4%, 94.6%, 94.8%, and 94.7% of PDS Q24W patients assessed did not receive supplemental ranibizumab treatment. The PDS ocular safety profile was generally unchanged from primary analysis. Prespecified ocular adverse events of special interest (AESI) were reported in 59 (23.8%) PDS and 17 (10.2%) monthly ranibizumab patients. The most common AESI reported in both arms was cataract (PDS Q24W, 22 [8.9%]; monthly ranibizumab, 10 [6.0%]). Events in the PDS Q24W arm included (patient incidence) 10 (4.0%) conjunctival erosions, 6 (2.4%) conjunctival retractions, 4 (1.6%) endophthalmitis cases, and 4 (1.6%) implant dislocations. Serum ranibizumab sampling showed that the PDS continuously released ranibizumab over the 24-week refill-exchange interval and ranibizumab serum concentrations were within the range experienced with monthly ranibizumab. Conclusions: The PDS Q24W showed noninferior efficacy to monthly ranibizumab through approximately 2 years, with approximately 95% of PDS Q24W patients not receiving supplemental ranibizumab treatment in each refill-exchan…","author":[{"dropping-particle":"","family":"Regillo","given":"Carl","non-dropping-particle":"","parse-names":false,"suffix":""},{"dropping-particle":"","family":"Berger","given":"Brian","non-dropping-particle":"","parse-names":false,"suffix":""},{"dropping-particle":"","family":"Brooks","given":"Logan","non-dropping-particle":"","parse-names":false,"suffix":""},{"dropping-particle":"","family":"Clark","given":"W. Lloyd","non-dropping-particle":"","parse-names":false,"suffix":""},{"dropping-particle":"","family":"Mittra","given":"Robert","non-dropping-particle":"","parse-names":false,"suffix":""},{"dropping-particle":"","family":"Wykoff","given":"Charles C.","non-dropping-particle":"","parse-names":false,"suffix":""},{"dropping-particle":"","family":"Callaway","given":"Natalia F.","non-dropping-particle":"","parse-names":false,"suffix":""},{"dropping-particle":"","family":"DeGraaf","given":"Stephanie","non-dropping-particle":"","parse-names":false,"suffix":""},{"dropping-particle":"","family":"Ding","given":"Han Ting","non-dropping-particle":"","parse-names":false,"suffix":""},{"dropping-particle":"","family":"Fung","given":"Anne E.","non-dropping-particle":"","parse-names":false,"suffix":""},{"dropping-particle":"","family":"Gune","given":"Shamika","non-dropping-particle":"","parse-names":false,"suffix":""},{"dropping-particle":"","family":"Pogam","given":"Sophie","non-dropping-particle":"Le","parse-names":false,"suffix":""},{"dropping-particle":"","family":"Smith","given":"Robert","non-dropping-particle":"","parse-names":false,"suffix":""},{"dropping-particle":"","family":"Willis","given":"Jeffrey R.","non-dropping-particle":"","parse-names":false,"suffix":""},{"dropping-particle":"","family":"Barteselli","given":"Giulio","non-dropping-particle":"","parse-names":false,"suffix":""}],"container-title":"Ophthalmology","id":"ITEM-3","issue":"7","issued":{"date-parts":[["2023","7","1"]]},"page":"735-747","publisher":"Elsevier Inc.","title":"Archway Phase 3 Trial of the Port Delivery System with Ranibizumab for Neovascular Age-Related Macular Degeneration 2-Year Results","type":"article-journal","volume":"130"},"uris":["http://www.mendeley.com/documents/?uuid=4cae25bb-8f56-327f-829c-f5fa1941a72a"]},{"id":"ITEM-4","itemData":{"DOI":"10.1016/j.ophtha.2021.09.016","ISSN":"15494713","PMID":"34597713","abstract":"Purpose: To evaluate the safety and efficacy of the Port Delivery System with ranibizumab (PDS) for the treatment of neovascular age-related macular degeneration (nAMD). Design: Phase 3, open-label, randomized, visual acuity assessor–masked noninferiority and equivalence trial. Participants: Patients with nAMD diagnosed within 9 months of screening previously treated with and responsive to anti–vascular endothelial growth factor therapy. Methods: Patients were randomized 3:2 to treatment with the PDS with ranibizumab 100 mg/ml with fixed 24-week (Q24W) refill-exchanges (PDS Q24W) or intravitreal ranibizumab 0.5-mg injections every 4 weeks (monthly ranibizumab). Main Outcome Measures: Primary end point was change in best-corrected visual acuity (BCVA) Early Treatment Diabetic Retinopathy Study letter (letters) score from baseline averaged over weeks 36 and 40 (noninferiority margin,–4.5 letters; equivalence margin, ±4.5 letters). Results: Archway enrolled 418 patients; 251 were randomized to and 248 received treatment with the PDS Q24W, and 167 were randomized to and received treatment with monthly ranibizumab. Baseline BCVA was 74.4 letters (PDS Q24W arm) and 75.5 letters (monthly ranibizumab arm; Snellen equivalent, 20/32). Adjusted mean change in BCVA score from baseline averaged over weeks 36 and 40 was +0.2 letters (standard error [SE], 0.5 letters) in the PDS Q24W arm and +0.5 letters (SE, 0.6 letters) in the monthly ranibizumab arm (difference, –0.3 letters; 95% confidence interval, –1.7 to 1.1 letters). PDS Q24W was both noninferior and equivalent to monthly ranibizumab. Of 246 PDS-treated patients assessed for supplemental ranibizumab treatment, 242 (98.4%) did not receive supplemental ranibizumab treatment before the first refill-exchange procedure, including 4 patients who discontinued treatment before the first refill-exchange procedure. Prespecified ocular adverse events of special interest were reported in 47 patients (19.0%) in the PDS Q24W arm and 10 patients (6.0%) in the monthly ranibizumab arm, which included, in the former arm, 4 (1.6%) endophthalmitis cases, 2 (0.8%) retinal detachments, 13 (5.2%) vitreous hemorrhages, 6 (2.4%) conjunctival erosions, and 5 (2.0%) conjunctival retractions. Most ocular adverse events in the PDS Q24W arm occurred within 1 month of implantation. Conclusions: Archway met its primary objective and PDS Q24W demonstrated noninferior and equivalent efficacy to monthly ranibizumab, with 98.4% of PDS-treated pa…","author":[{"dropping-particle":"","family":"Holekamp","given":"Nancy M.","non-dropping-particle":"","parse-names":false,"suffix":""},{"dropping-particle":"","family":"Campochiaro","given":"Peter A.","non-dropping-particle":"","parse-names":false,"suffix":""},{"dropping-particle":"","family":"Chang","given":"Margaret A.","non-dropping-particle":"","parse-names":false,"suffix":""},{"dropping-particle":"","family":"Miller","given":"Daniel","non-dropping-particle":"","parse-names":false,"suffix":""},{"dropping-particle":"","family":"Pieramici","given":"Dante","non-dropping-particle":"","parse-names":false,"suffix":""},{"dropping-particle":"","family":"Adamis","given":"Anthony P.","non-dropping-particle":"","parse-names":false,"suffix":""},{"dropping-particle":"","family":"Brittain","given":"Christopher","non-dropping-particle":"","parse-names":false,"suffix":""},{"dropping-particle":"","family":"Evans","given":"Erica","non-dropping-particle":"","parse-names":false,"suffix":""},{"dropping-particle":"","family":"Kaufman","given":"Derrick","non-dropping-particle":"","parse-names":false,"suffix":""},{"dropping-particle":"","family":"Maass","given":"Katie F.","non-dropping-particle":"","parse-names":false,"suffix":""},{"dropping-particle":"","family":"Patel","given":"Shienal","non-dropping-particle":"","parse-names":false,"suffix":""},{"dropping-particle":"","family":"Ranade","given":"Shrirang","non-dropping-particle":"","parse-names":false,"suffix":""},{"dropping-particle":"","family":"Singh","given":"Natasha","non-dropping-particle":"","parse-names":false,"suffix":""},{"dropping-particle":"","family":"Barteselli","given":"Giulio","non-dropping-particle":"","parse-names":false,"suffix":""},{"dropping-particle":"","family":"Regillo","given":"Carl","non-dropping-particle":"","parse-names":false,"suffix":""}],"container-title":"Ophthalmology","id":"ITEM-4","issue":"3","issued":{"date-parts":[["2022","3","1"]]},"page":"295-307","publisher":"Elsevier Inc.","title":"Archway Randomized Phase 3 Trial of the Port Delivery System with Ranibizumab for Neovascular Age-Related Macular Degeneration","type":"article-journal","volume":"129"},"uris":["http://www.mendeley.com/documents/?uuid=88195152-f59b-34bb-8908-56b79e17f120"]},{"id":"ITEM-5","itemData":{"DOI":"10.1001/JAMAOPHTHALMOL.2025.0006","ISSN":"2168-6165","PMID":"40048197","abstract":"&lt;h3&gt;Importance&lt;/h3&gt;&lt;p&gt;Frequent visits and intravitreal anti–vascular endothelial growth factor (VEGF) injections are often required to manage diabetic macular edema (DME), burdening patients and their health care networks. The Port Delivery System (PDS) with ranibizumab is the first continuous anti-VEGF therapy that has the potential to reduce visit and treatment burden without sacrificing vision outcomes for patients with DME.&lt;/p&gt;&lt;h3&gt;Objective&lt;/h3&gt;&lt;p&gt;To evaluate the efficacy and safety through 64 weeks of ranibizumab, 100 mg/mL, via PDS with refill exchanges every 24 weeks (PDS Q24W) in patients with DME vs intravitreal injections of ranibizumab, 0.5 mg, every 4 weeks (monthly ranibizumab).&lt;/p&gt;&lt;h3&gt;Design, Setting, and Participants&lt;/h3&gt;&lt;p&gt;This randomized clinical trial was a phase 3, multicenter, noninferiority trial conducted across 87 sites in the US. Treatment-naïve patients at least 18 years old with center-involved DME were eligible for study participation. Enrollment was from September 30, 2019, to June 25, 2021; data were analyzed from September 30, 2019, to September 19, 2022.&lt;/p&gt;&lt;h3&gt;Intervention&lt;/h3&gt;&lt;p&gt;Participants were randomized 3:2 to receive 4 monthly doses of ranibizumab, 0.5 mg, followed by ranibizumab, 100 mg/mL, via PDS Q24W or monthly ranibizumab.&lt;/p&gt;&lt;h3&gt;Main Outcome and Measure&lt;/h3&gt;&lt;p&gt;The primary end point was change in best-corrected visual acuity (BCVA) from baseline averaged over weeks 60 and 64.&lt;/p&gt;&lt;h3&gt;Results&lt;/h3&gt;&lt;p&gt;A total of 634 participants were randomized (PDS Q24W group, n</w:instrText>
      </w:r>
      <w:r w:rsidR="00871F87">
        <w:rPr>
          <w:rFonts w:ascii="Times New Roman" w:hAnsi="Times New Roman" w:cs="Times New Roman"/>
          <w:color w:val="000000"/>
        </w:rPr>
        <w:instrText> </w:instrText>
      </w:r>
      <w:r w:rsidR="00871F87">
        <w:rPr>
          <w:color w:val="000000"/>
        </w:rPr>
        <w:instrText>=</w:instrText>
      </w:r>
      <w:r w:rsidR="00871F87">
        <w:rPr>
          <w:rFonts w:ascii="Times New Roman" w:hAnsi="Times New Roman" w:cs="Times New Roman"/>
          <w:color w:val="000000"/>
        </w:rPr>
        <w:instrText> </w:instrText>
      </w:r>
      <w:r w:rsidR="00871F87">
        <w:rPr>
          <w:color w:val="000000"/>
        </w:rPr>
        <w:instrText>381; monthly ranibizumab, n</w:instrText>
      </w:r>
      <w:r w:rsidR="00871F87">
        <w:rPr>
          <w:rFonts w:ascii="Times New Roman" w:hAnsi="Times New Roman" w:cs="Times New Roman"/>
          <w:color w:val="000000"/>
        </w:rPr>
        <w:instrText> </w:instrText>
      </w:r>
      <w:r w:rsidR="00871F87">
        <w:rPr>
          <w:color w:val="000000"/>
        </w:rPr>
        <w:instrText>=</w:instrText>
      </w:r>
      <w:r w:rsidR="00871F87">
        <w:rPr>
          <w:rFonts w:ascii="Times New Roman" w:hAnsi="Times New Roman" w:cs="Times New Roman"/>
          <w:color w:val="000000"/>
        </w:rPr>
        <w:instrText> </w:instrText>
      </w:r>
      <w:r w:rsidR="00871F87">
        <w:rPr>
          <w:color w:val="000000"/>
        </w:rPr>
        <w:instrText>253). The mean (SD) age at baseline was 60.7 (9.6) years; 363 (57.3%) participants were male and 271 (42.7%) female. Adjusted mean BCVA change from baseline averaged over weeks 60 and 64 was an increase of 9.6 letters for PDS Q24W and 9.4 letters for monthly ranibizumab (difference, 0.2; 95% CI, −1.2 to 1.6), meeting the primary end point of PDS noninferiority (margin, –4.5 letters). PDS Q24W participants had a mean (SD) decrease of 6.7 (12.0) letters 4 weeks after PDS insertion; mean BCVA was similar to monthly ranibizumab 16 weeks after implantation. Adverse events of special interest were more common in the PDS Q24W group (88 participants; 27.5%) than the monthly ranibizumab group (28 participants; 8.9%). No cases of endophthalmitis or retinal detachment were reported with PDS Q24W.&lt;/p&gt;&lt;h3&gt;Conclusions and Relevance&lt;/h3&gt;&lt;p&gt;This trial found that changes in BCVA from baseline averaged over weeks 60/64 in the PDS Q24W group w…","author":[{"dropping-particle":"","family":"Khanani","given":"Arshad M.","non-dropping-particle":"","parse-names":false,"suffix":""},{"dropping-particle":"","family":"Campochiaro","given":"Peter A.","non-dropping-particle":"","parse-names":false,"suffix":""},{"dropping-particle":"","family":"Graff","given":"Jordan M.","non-dropping-particle":"","parse-names":false,"suffix":""},{"dropping-particle":"","family":"Marcus","given":"Dennis M.","non-dropping-particle":"","parse-names":false,"suffix":""},{"dropping-particle":"","family":"Miller","given":"Daniel","non-dropping-particle":"","parse-names":false,"suffix":""},{"dropping-particle":"","family":"Mittra","given":"Robert A.","non-dropping-particle":"","parse-names":false,"suffix":""},{"dropping-particle":"","family":"Regillo","given":"Carl","non-dropping-particle":"","parse-names":false,"suffix":""},{"dropping-particle":"","family":"Sheth","given":"Veeral S.","non-dropping-particle":"","parse-names":false,"suffix":""},{"dropping-particle":"","family":"Bobbala","given":"Ashwini","non-dropping-particle":"","parse-names":false,"suffix":""},{"dropping-particle":"","family":"Gune","given":"Shamika","non-dropping-particle":"","parse-names":false,"suffix":""},{"dropping-particle":"","family":"Lin","given":"Stephanie","non-dropping-particle":"","parse-names":false,"suffix":""},{"dropping-particle":"","family":"Quezada-Ruiz","given":"Carlos","non-dropping-particle":"","parse-names":false,"suffix":""},{"dropping-particle":"","family":"Malhotra","given":"Varun","non-dropping-particle":"","parse-names":false,"suffix":""}],"container-title":"JAMA Ophthalmology","id":"ITEM-5","issue":"4","issued":{"date-parts":[["2025","4","1"]]},"page":"326-335","publisher":"American Medical Association","title":"Continuous Ranibizumab via Port Delivery System vs Monthly Ranibizumab for Treatment of Diabetic Macular Edema: The Pagoda Randomized Clinical Trial","type":"article-journal","volume":"143"},"uris":["http://www.mendeley.com/documents/?uuid=8128e666-cc26-3573-8522-3e1655177e6a"]}],"mendeley":{"formattedCitation":"[3, 5–7, 12]","plainTextFormattedCitation":"[3, 5–7, 12]","previouslyFormattedCitation":"[3, 5–7, 12]"},"properties":{"noteIndex":0},"schema":"https://github.com/citation-style-language/schema/raw/master/csl-citation.json"}</w:instrText>
      </w:r>
      <w:r w:rsidR="00B75CF9">
        <w:rPr>
          <w:color w:val="000000"/>
        </w:rPr>
        <w:fldChar w:fldCharType="separate"/>
      </w:r>
      <w:r w:rsidR="00B75CF9" w:rsidRPr="00B75CF9">
        <w:rPr>
          <w:noProof/>
          <w:color w:val="000000"/>
        </w:rPr>
        <w:t>[3, 5–7, 12]</w:t>
      </w:r>
      <w:r w:rsidR="00B75CF9">
        <w:rPr>
          <w:color w:val="000000"/>
        </w:rPr>
        <w:fldChar w:fldCharType="end"/>
      </w:r>
      <w:r w:rsidR="00B75CF9">
        <w:rPr>
          <w:color w:val="000000"/>
        </w:rPr>
        <w:t xml:space="preserve"> </w:t>
      </w:r>
    </w:p>
    <w:p w14:paraId="0000001E" w14:textId="77777777" w:rsidR="006369AE" w:rsidRDefault="006369AE">
      <w:pPr>
        <w:jc w:val="both"/>
      </w:pPr>
    </w:p>
    <w:p w14:paraId="0000001F" w14:textId="0E437E39" w:rsidR="006369AE" w:rsidRDefault="00000000">
      <w:pPr>
        <w:jc w:val="both"/>
      </w:pPr>
      <w:r>
        <w:t xml:space="preserve">Kontinuální uvolňování léčiva ze systému PDP poskytuje rovnocenné (non-inferiorní) zrakové a anatomické výsledky jako časté měsíční injekce, ale s obrovským benefitem pro pacienta v podobě snížení zátěže (např. pouhé 4 zákroky za dva roky oproti 24 injekcím u standardní léčby). </w:t>
      </w:r>
    </w:p>
    <w:p w14:paraId="5AD43C06" w14:textId="7CCF1B2F" w:rsidR="00C672F8" w:rsidRDefault="00C672F8">
      <w:pPr>
        <w:jc w:val="both"/>
      </w:pPr>
      <w:r>
        <w:t>Ve studii ARCHWAY se uvádí, že současná standardní léčba vykazuje cca 12 injekcí ročně, zatímco PDP 2 dop</w:t>
      </w:r>
      <w:r w:rsidR="00AE1538">
        <w:t>l</w:t>
      </w:r>
      <w:r>
        <w:t>ňovací injekce ročně.</w:t>
      </w:r>
      <w:r w:rsidR="00AE1538">
        <w:t xml:space="preserve"> </w:t>
      </w:r>
      <w:r w:rsidR="00AE1538">
        <w:rPr>
          <w:color w:val="000000"/>
        </w:rPr>
        <w:fldChar w:fldCharType="begin" w:fldLock="1"/>
      </w:r>
      <w:r w:rsidR="00871F87">
        <w:rPr>
          <w:color w:val="000000"/>
        </w:rPr>
        <w:instrText>ADDIN CSL_CITATION {"citationItems":[{"id":"ITEM-1","itemData":{"DOI":"10.1002/JCPH.2290","ISSN":"1552-4604","PMID":"37291950","abstract":"The port delivery system with ranibizumab (PDS) is designed to continuously deliver ranibizumab to maintain therapeutic drug concentrations in the vitreous of the eye for an extended duration. The PDS has been evaluated for the treatment of neovascular age-related macular degeneration in the Ladder (PDS 10, 40, and 100 mg/mL, with refill exchanges as needed, versus monthly intravitreal ranibizumab 0.5 mg), Archway (PDS 100 mg/mL with 24-week refill exchanges, versus monthly intravitreal ranibizumab 0.5 mg), and ongoing Portal (PDS 100 mg/mL with 24-week refill exchanges) clinical trials. Data from Ladder, Archway, and Portal were used to develop a population pharmacokinetics (PK) model to estimate the ranibizumab release rate from the PDS implant, describe ranibizumab PK in serum and aqueous humor, and predict the concentration in vitreous humor. A model was developed to adequately describe the serum and aqueous humor PK data, as suggested by goodness-of-fit plots as well as visual predictive checks. In the final model, the first-order implant release rate was estimated to be 0.00654 (1/day), corresponding to a half-life of 106 days, consistent with the implant release rate determined in vitro. The model-predicted vitreous concentrations achieved with PDS 100 mg/mL given every 24 weeks were below the intravitreal peak concentration and above the intravitreal trough concentration of ranibizumab over the entire 24-week refill interval. The results demonstrate a durable release of ranibizumab from the PDS with a half-life of 106 days, providing vitreous exposure to ranibizumab for at least 24 weeks that is within the range of exposure for monthly intravitreal treatment.","author":[{"dropping-particle":"","family":"Kågedal","given":"Matts","non-dropping-particle":"","parse-names":false,"suffix":""},{"dropping-particle":"","family":"Alskär","given":"Oskar","non-dropping-particle":"","parse-names":false,"suffix":""},{"dropping-particle":"","family":"Petersson","given":"Klas","non-dropping-particle":"","parse-names":false,"suffix":""},{"dropping-particle":"","family":"Hanze","given":"Eva","non-dropping-particle":"","parse-names":false,"suffix":""},{"dropping-particle":"","family":"Maia","given":"Mauricio","non-dropping-particle":"","parse-names":false,"suffix":""},{"dropping-particle":"","family":"Lu","given":"Tong","non-dropping-particle":"","parse-names":false,"suffix":""},{"dropping-particle":"","family":"Vakhavkar","given":"Shweta","non-dropping-particle":"","parse-names":false,"suffix":""},{"dropping-particle":"","family":"Quartino","given":"Angelica","non-dropping-particle":"","parse-names":false,"suffix":""},{"dropping-particle":"","family":"Willis","given":"Jeffrey R.","non-dropping-particle":"","parse-names":false,"suffix":""},{"dropping-particle":"","family":"Jin","given":"Jin Y.","non-dropping-particle":"","parse-names":false,"suffix":""},{"dropping-particle":"","family":"Maass","given":"Katie F.","non-dropping-particle":"","parse-names":false,"suffix":""}],"container-title":"Journal of clinical pharmacology","id":"ITEM-1","issue":"11","issued":{"date-parts":[["2023","11","1"]]},"page":"1210-1220","publisher":"J Clin Pharmacol","title":"Population Pharmacokinetics of Ranibizumab Delivered via the Port Delivery System Implanted in the Eye in Patients with Neovascular Age-Related Macular Degeneration","type":"article-journal","volume":"63"},"uris":["http://www.mendeley.com/documents/?uuid=44e5c34e-299f-3b4b-ad55-329fca8febfa"]},{"id":"ITEM-2","itemData":{"DOI":"10.3390/PHARMACEUTICS16030314","ISSN":"1999-4923","PMID":"38543208","abstract":"The ranibizumab (RBZ) port delivery system (PDS) is a device designed to continuously deliver RBZ in the vitreous chamber for the treatment of neovascular age-related macular degeneration (nAMD). It is implanted during a surgical procedure and can provide sustained release of the medication for several months. This review, updated to January 2024, focuses on past clinical studies as well as current and forthcoming trials looking into a PDS with RBZ. In the phase 2 LADDER trial, the mean time to first refill of a PDS with RBZ 100 mg/mL was 15.8 months, with the pharmacokinetic (PK) profile showing a sustained concentration of RBZ in the blood and aqueous humor. More recently, a PDS with RBZ (100 mg/mL) refilled every 24 weeks was shown to be non-inferior to a monthly intravitreal injection (IVI) with RBZ (0.5 mg) over 40 and 92 weeks in the phase 3 ARCHWAY trial. The refill every 24 weeks allowed for a RBZ vitreous exposure within the concentration range of monthly intravitreal injections (IVIs), and the expected half-life (106 days) was comparable with the in vitro results. Nonetheless, vitreous hemorrhage and endophthalmitis were more common side effects in PDS patients. In conclusion, a PDS continuously delivering RBZ has a clinical effectiveness level comparable with IVI treatment. However, a greater frequency of unfavorable occurrences highlights the need for procedure optimization for a wider adoption. Ongoing trials and possible future approaches need to be addressed.","author":[{"dropping-particle":"","family":"Carlà","given":"Matteo Mario","non-dropping-particle":"","parse-names":false,"suffix":""},{"dropping-particle":"","family":"Savastano","given":"Maria Cristina","non-dropping-particle":"","parse-names":false,"suffix":""},{"dropping-particle":"","family":"Boselli","given":"Francesco","non-dropping-particle":"","parse-names":false,"suffix":""},{"dropping-particle":"","family":"Giannuzzi","given":"Federico","non-dropping-particle":"","parse-names":false,"suffix":""},{"dropping-particle":"","family":"Rizzo","given":"Stanislao","non-dropping-particle":"","parse-names":false,"suffix":""}],"container-title":"Pharmaceutics","id":"ITEM-2","issue":"3","issued":{"date-parts":[["2024","3","1"]]},"publisher":"Pharmaceutics","title":"Ranibizumab Port Delivery System in Neovascular Age-Related Macular Degeneration: Where Do We Stand? Overview of Pharmacokinetics, Clinical Results, and Future Directions","type":"article-journal","volume":"16"},"uris":["http://www.mendeley.com/documents/?uuid=cd245a02-d8b0-35f0-aeca-ddc8dfb8a522"]},{"id":"ITEM-3","itemData":{"DOI":"10.1016/j.ophtha.2023.02.024","ISSN":"15494713","PMID":"36870451","abstract":"Purpose: To report 2-year results from the Archway clinical trial of the Port Delivery System with ranibizumab (PDS) for treatment of neovascular age-related macular degeneration (nAMD). Design: Phase 3, randomized, multicenter, open-label, active-comparator–controlled trial. Participants: Patients with previously treated nAMD diagnosed within 9 months of screening and responsive to anti–vascular endothelial growth factor therapy. Methods: Patients were randomized 3:2 to PDS with ranibizumab 100 mg/ml with fixed refill-exchanges every 24 weeks (PDS Q24W) or intravitreal ranibizumab 0.5 mg injections every 4 weeks (monthly ranibizumab). Patients were followed through 4 complete refill-exchange intervals (</w:instrText>
      </w:r>
      <w:r w:rsidR="00871F87">
        <w:rPr>
          <w:rFonts w:ascii="Cambria Math" w:hAnsi="Cambria Math" w:cs="Cambria Math"/>
          <w:color w:val="000000"/>
        </w:rPr>
        <w:instrText>∼</w:instrText>
      </w:r>
      <w:r w:rsidR="00871F87">
        <w:rPr>
          <w:color w:val="000000"/>
        </w:rPr>
        <w:instrText>2 years). Main Outcome Measures: Change in best-corrected visual acuity (BCVA) Early Treatment Diabetic Retinopathy Study (ETDRS) letter score from baseline averaged over weeks 44 and 48, weeks 60 and 64, and weeks 88 and 92 (noninferiority margin, –3.9 ETDRS letters). Results: The PDS Q24W was noninferior to monthly ranibizumab, with differences in adjusted mean change in BCVA score from baseline averaged over weeks 44/48, 60/64 and 88/92 of –0.2 (95% confidence interval [CI], –1.8 to +1.3), +0.4 (95% CI, –1.4 to +2.1) and –0.6 ETDRS letters (95% CI, –2.5 to +1.3), respectively. Anatomic outcomes were generally comparable between arms through week 96. Through each of 4 PDS refill-exchange intervals, 98.4%, 94.6%, 94.8%, and 94.7% of PDS Q24W patients assessed did not receive supplemental ranibizumab treatment. The PDS ocular safety profile was generally unchanged from primary analysis. Prespecified ocular adverse events of special interest (AESI) were reported in 59 (23.8%) PDS and 17 (10.2%) monthly ranibizumab patients. The most common AESI reported in both arms was cataract (PDS Q24W, 22 [8.9%]; monthly ranibizumab, 10 [6.0%]). Events in the PDS Q24W arm included (patient incidence) 10 (4.0%) conjunctival erosions, 6 (2.4%) conjunctival retractions, 4 (1.6%) endophthalmitis cases, and 4 (1.6%) implant dislocations. Serum ranibizumab sampling showed that the PDS continuously released ranibizumab over the 24-week refill-exchange interval and ranibizumab serum concentrations were within the range experienced with monthly ranibizumab. Conclusions: The PDS Q24W showed noninferior efficacy to monthly ranibizumab through approximately 2 years, with approximately 95% of PDS Q24W patients not receiving supplemental ranibizumab treatment in each refill-exchan…","author":[{"dropping-particle":"","family":"Regillo","given":"Carl","non-dropping-particle":"","parse-names":false,"suffix":""},{"dropping-particle":"","family":"Berger","given":"Brian","non-dropping-particle":"","parse-names":false,"suffix":""},{"dropping-particle":"","family":"Brooks","given":"Logan","non-dropping-particle":"","parse-names":false,"suffix":""},{"dropping-particle":"","family":"Clark","given":"W. Lloyd","non-dropping-particle":"","parse-names":false,"suffix":""},{"dropping-particle":"","family":"Mittra","given":"Robert","non-dropping-particle":"","parse-names":false,"suffix":""},{"dropping-particle":"","family":"Wykoff","given":"Charles C.","non-dropping-particle":"","parse-names":false,"suffix":""},{"dropping-particle":"","family":"Callaway","given":"Natalia F.","non-dropping-particle":"","parse-names":false,"suffix":""},{"dropping-particle":"","family":"DeGraaf","given":"Stephanie","non-dropping-particle":"","parse-names":false,"suffix":""},{"dropping-particle":"","family":"Ding","given":"Han Ting","non-dropping-particle":"","parse-names":false,"suffix":""},{"dropping-particle":"","family":"Fung","given":"Anne E.","non-dropping-particle":"","parse-names":false,"suffix":""},{"dropping-particle":"","family":"Gune","given":"Shamika","non-dropping-particle":"","parse-names":false,"suffix":""},{"dropping-particle":"","family":"Pogam","given":"Sophie","non-dropping-particle":"Le","parse-names":false,"suffix":""},{"dropping-particle":"","family":"Smith","given":"Robert","non-dropping-particle":"","parse-names":false,"suffix":""},{"dropping-particle":"","family":"Willis","given":"Jeffrey R.","non-dropping-particle":"","parse-names":false,"suffix":""},{"dropping-particle":"","family":"Barteselli","given":"Giulio","non-dropping-particle":"","parse-names":false,"suffix":""}],"container-title":"Ophthalmology","id":"ITEM-3","issue":"7","issued":{"date-parts":[["2023","7","1"]]},"page":"735-747","publisher":"Elsevier Inc.","title":"Archway Phase 3 Trial of the Port Delivery System with Ranibizumab for Neovascular Age-Related Macular Degeneration 2-Year Results","type":"article-journal","volume":"130"},"uris":["http://www.mendeley.com/documents/?uuid=4cae25bb-8f56-327f-829c-f5fa1941a72a"]},{"id":"ITEM-4","itemData":{"DOI":"10.1016/j.ophtha.2021.09.016","ISSN":"15494713","PMID":"34597713","abstract":"Purpose: To evaluate the safety and efficacy of the Port Delivery System with ranibizumab (PDS) for the treatment of neovascular age-related macular degeneration (nAMD). Design: Phase 3, open-label, randomized, visual acuity assessor–masked noninferiority and equivalence trial. Participants: Patients with nAMD diagnosed within 9 months of screening previously treated with and responsive to anti–vascular endothelial growth factor therapy. Methods: Patients were randomized 3:2 to treatment with the PDS with ranibizumab 100 mg/ml with fixed 24-week (Q24W) refill-exchanges (PDS Q24W) or intravitreal ranibizumab 0.5-mg injections every 4 weeks (monthly ranibizumab). Main Outcome Measures: Primary end point was change in best-corrected visual acuity (BCVA) Early Treatment Diabetic Retinopathy Study letter (letters) score from baseline averaged over weeks 36 and 40 (noninferiority margin,–4.5 letters; equivalence margin, ±4.5 letters). Results: Archway enrolled 418 patients; 251 were randomized to and 248 received treatment with the PDS Q24W, and 167 were randomized to and received treatment with monthly ranibizumab. Baseline BCVA was 74.4 letters (PDS Q24W arm) and 75.5 letters (monthly ranibizumab arm; Snellen equivalent, 20/32). Adjusted mean change in BCVA score from baseline averaged over weeks 36 and 40 was +0.2 letters (standard error [SE], 0.5 letters) in the PDS Q24W arm and +0.5 letters (SE, 0.6 letters) in the monthly ranibizumab arm (difference, –0.3 letters; 95% confidence interval, –1.7 to 1.1 letters). PDS Q24W was both noninferior and equivalent to monthly ranibizumab. Of 246 PDS-treated patients assessed for supplemental ranibizumab treatment, 242 (98.4%) did not receive supplemental ranibizumab treatment before the first refill-exchange procedure, including 4 patients who discontinued treatment before the first refill-exchange procedure. Prespecified ocular adverse events of special interest were reported in 47 patients (19.0%) in the PDS Q24W arm and 10 patients (6.0%) in the monthly ranibizumab arm, which included, in the former arm, 4 (1.6%) endophthalmitis cases, 2 (0.8%) retinal detachments, 13 (5.2%) vitreous hemorrhages, 6 (2.4%) conjunctival erosions, and 5 (2.0%) conjunctival retractions. Most ocular adverse events in the PDS Q24W arm occurred within 1 month of implantation. Conclusions: Archway met its primary objective and PDS Q24W demonstrated noninferior and equivalent efficacy to monthly ranibizumab, with 98.4% of PDS-treated pa…","author":[{"dropping-particle":"","family":"Holekamp","given":"Nancy M.","non-dropping-particle":"","parse-names":false,"suffix":""},{"dropping-particle":"","family":"Campochiaro","given":"Peter A.","non-dropping-particle":"","parse-names":false,"suffix":""},{"dropping-particle":"","family":"Chang","given":"Margaret A.","non-dropping-particle":"","parse-names":false,"suffix":""},{"dropping-particle":"","family":"Miller","given":"Daniel","non-dropping-particle":"","parse-names":false,"suffix":""},{"dropping-particle":"","family":"Pieramici","given":"Dante","non-dropping-particle":"","parse-names":false,"suffix":""},{"dropping-particle":"","family":"Adamis","given":"Anthony P.","non-dropping-particle":"","parse-names":false,"suffix":""},{"dropping-particle":"","family":"Brittain","given":"Christopher","non-dropping-particle":"","parse-names":false,"suffix":""},{"dropping-particle":"","family":"Evans","given":"Erica","non-dropping-particle":"","parse-names":false,"suffix":""},{"dropping-particle":"","family":"Kaufman","given":"Derrick","non-dropping-particle":"","parse-names":false,"suffix":""},{"dropping-particle":"","family":"Maass","given":"Katie F.","non-dropping-particle":"","parse-names":false,"suffix":""},{"dropping-particle":"","family":"Patel","given":"Shienal","non-dropping-particle":"","parse-names":false,"suffix":""},{"dropping-particle":"","family":"Ranade","given":"Shrirang","non-dropping-particle":"","parse-names":false,"suffix":""},{"dropping-particle":"","family":"Singh","given":"Natasha","non-dropping-particle":"","parse-names":false,"suffix":""},{"dropping-particle":"","family":"Barteselli","given":"Giulio","non-dropping-particle":"","parse-names":false,"suffix":""},{"dropping-particle":"","family":"Regillo","given":"Carl","non-dropping-particle":"","parse-names":false,"suffix":""}],"container-title":"Ophthalmology","id":"ITEM-4","issue":"3","issued":{"date-parts":[["2022","3","1"]]},"page":"295-307","publisher":"Elsevier Inc.","title":"Archway Randomized Phase 3 Trial of the Port Delivery System with Ranibizumab for Neovascular Age-Related Macular Degeneration","type":"article-journal","volume":"129"},"uris":["http://www.mendeley.com/documents/?uuid=88195152-f59b-34bb-8908-56b79e17f120"]},{"id":"ITEM-5","itemData":{"DOI":"10.1001/JAMAOPHTHALMOL.2025.0006","ISSN":"2168-6165","PMID":"40048197","abstract":"&lt;h3&gt;Importance&lt;/h3&gt;&lt;p&gt;Frequent visits and intravitreal anti–vascular endothelial growth factor (VEGF) injections are often required to manage diabetic macular edema (DME), burdening patients and their health care networks. The Port Delivery System (PDS) with ranibizumab is the first continuous anti-VEGF therapy that has the potential to reduce visit and treatment burden without sacrificing vision outcomes for patients with DME.&lt;/p&gt;&lt;h3&gt;Objective&lt;/h3&gt;&lt;p&gt;To evaluate the efficacy and safety through 64 weeks of ranibizumab, 100 mg/mL, via PDS with refill exchanges every 24 weeks (PDS Q24W) in patients with DME vs intravitreal injections of ranibizumab, 0.5 mg, every 4 weeks (monthly ranibizumab).&lt;/p&gt;&lt;h3&gt;Design, Setting, and Participants&lt;/h3&gt;&lt;p&gt;This randomized clinical trial was a phase 3, multicenter, noninferiority trial conducted across 87 sites in the US. Treatment-naïve patients at least 18 years old with center-involved DME were eligible for study participation. Enrollment was from September 30, 2019, to June 25, 2021; data were analyzed from September 30, 2019, to September 19, 2022.&lt;/p&gt;&lt;h3&gt;Intervention&lt;/h3&gt;&lt;p&gt;Participants were randomized 3:2 to receive 4 monthly doses of ranibizumab, 0.5 mg, followed by ranibizumab, 100 mg/mL, via PDS Q24W or monthly ranibizumab.&lt;/p&gt;&lt;h3&gt;Main Outcome and Measure&lt;/h3&gt;&lt;p&gt;The primary end point was change in best-corrected visual acuity (BCVA) from baseline averaged over weeks 60 and 64.&lt;/p&gt;&lt;h3&gt;Results&lt;/h3&gt;&lt;p&gt;A total of 634 participants were randomized (PDS Q24W group, n</w:instrText>
      </w:r>
      <w:r w:rsidR="00871F87">
        <w:rPr>
          <w:rFonts w:ascii="Times New Roman" w:hAnsi="Times New Roman" w:cs="Times New Roman"/>
          <w:color w:val="000000"/>
        </w:rPr>
        <w:instrText> </w:instrText>
      </w:r>
      <w:r w:rsidR="00871F87">
        <w:rPr>
          <w:color w:val="000000"/>
        </w:rPr>
        <w:instrText>=</w:instrText>
      </w:r>
      <w:r w:rsidR="00871F87">
        <w:rPr>
          <w:rFonts w:ascii="Times New Roman" w:hAnsi="Times New Roman" w:cs="Times New Roman"/>
          <w:color w:val="000000"/>
        </w:rPr>
        <w:instrText> </w:instrText>
      </w:r>
      <w:r w:rsidR="00871F87">
        <w:rPr>
          <w:color w:val="000000"/>
        </w:rPr>
        <w:instrText>381; monthly ranibizumab, n</w:instrText>
      </w:r>
      <w:r w:rsidR="00871F87">
        <w:rPr>
          <w:rFonts w:ascii="Times New Roman" w:hAnsi="Times New Roman" w:cs="Times New Roman"/>
          <w:color w:val="000000"/>
        </w:rPr>
        <w:instrText> </w:instrText>
      </w:r>
      <w:r w:rsidR="00871F87">
        <w:rPr>
          <w:color w:val="000000"/>
        </w:rPr>
        <w:instrText>=</w:instrText>
      </w:r>
      <w:r w:rsidR="00871F87">
        <w:rPr>
          <w:rFonts w:ascii="Times New Roman" w:hAnsi="Times New Roman" w:cs="Times New Roman"/>
          <w:color w:val="000000"/>
        </w:rPr>
        <w:instrText> </w:instrText>
      </w:r>
      <w:r w:rsidR="00871F87">
        <w:rPr>
          <w:color w:val="000000"/>
        </w:rPr>
        <w:instrText>253). The mean (SD) age at baseline was 60.7 (9.6) years; 363 (57.3%) participants were male and 271 (42.7%) female. Adjusted mean BCVA change from baseline averaged over weeks 60 and 64 was an increase of 9.6 letters for PDS Q24W and 9.4 letters for monthly ranibizumab (difference, 0.2; 95% CI, −1.2 to 1.6), meeting the primary end point of PDS noninferiority (margin, –4.5 letters). PDS Q24W participants had a mean (SD) decrease of 6.7 (12.0) letters 4 weeks after PDS insertion; mean BCVA was similar to monthly ranibizumab 16 weeks after implantation. Adverse events of special interest were more common in the PDS Q24W group (88 participants; 27.5%) than the monthly ranibizumab group (28 participants; 8.9%). No cases of endophthalmitis or retinal detachment were reported with PDS Q24W.&lt;/p&gt;&lt;h3&gt;Conclusions and Relevance&lt;/h3&gt;&lt;p&gt;This trial found that changes in BCVA from baseline averaged over weeks 60/64 in the PDS Q24W group w…","author":[{"dropping-particle":"","family":"Khanani","given":"Arshad M.","non-dropping-particle":"","parse-names":false,"suffix":""},{"dropping-particle":"","family":"Campochiaro","given":"Peter A.","non-dropping-particle":"","parse-names":false,"suffix":""},{"dropping-particle":"","family":"Graff","given":"Jordan M.","non-dropping-particle":"","parse-names":false,"suffix":""},{"dropping-particle":"","family":"Marcus","given":"Dennis M.","non-dropping-particle":"","parse-names":false,"suffix":""},{"dropping-particle":"","family":"Miller","given":"Daniel","non-dropping-particle":"","parse-names":false,"suffix":""},{"dropping-particle":"","family":"Mittra","given":"Robert A.","non-dropping-particle":"","parse-names":false,"suffix":""},{"dropping-particle":"","family":"Regillo","given":"Carl","non-dropping-particle":"","parse-names":false,"suffix":""},{"dropping-particle":"","family":"Sheth","given":"Veeral S.","non-dropping-particle":"","parse-names":false,"suffix":""},{"dropping-particle":"","family":"Bobbala","given":"Ashwini","non-dropping-particle":"","parse-names":false,"suffix":""},{"dropping-particle":"","family":"Gune","given":"Shamika","non-dropping-particle":"","parse-names":false,"suffix":""},{"dropping-particle":"","family":"Lin","given":"Stephanie","non-dropping-particle":"","parse-names":false,"suffix":""},{"dropping-particle":"","family":"Quezada-Ruiz","given":"Carlos","non-dropping-particle":"","parse-names":false,"suffix":""},{"dropping-particle":"","family":"Malhotra","given":"Varun","non-dropping-particle":"","parse-names":false,"suffix":""}],"container-title":"JAMA Ophthalmology","id":"ITEM-5","issue":"4","issued":{"date-parts":[["2025","4","1"]]},"page":"326-335","publisher":"American Medical Association","title":"Continuous Ranibizumab via Port Delivery System vs Monthly Ranibizumab for Treatment of Diabetic Macular Edema: The Pagoda Randomized Clinical Trial","type":"article-journal","volume":"143"},"uris":["http://www.mendeley.com/documents/?uuid=8128e666-cc26-3573-8522-3e1655177e6a"]}],"mendeley":{"formattedCitation":"[3, 5–7, 12]","plainTextFormattedCitation":"[3, 5–7, 12]","previouslyFormattedCitation":"[3, 5–7, 12]"},"properties":{"noteIndex":0},"schema":"https://github.com/citation-style-language/schema/raw/master/csl-citation.json"}</w:instrText>
      </w:r>
      <w:r w:rsidR="00AE1538">
        <w:rPr>
          <w:color w:val="000000"/>
        </w:rPr>
        <w:fldChar w:fldCharType="separate"/>
      </w:r>
      <w:r w:rsidR="00AE1538" w:rsidRPr="00B75CF9">
        <w:rPr>
          <w:noProof/>
          <w:color w:val="000000"/>
        </w:rPr>
        <w:t>[3, 5–7, 12]</w:t>
      </w:r>
      <w:r w:rsidR="00AE1538">
        <w:rPr>
          <w:color w:val="000000"/>
        </w:rPr>
        <w:fldChar w:fldCharType="end"/>
      </w:r>
    </w:p>
    <w:p w14:paraId="3DBDB606" w14:textId="71B6D8D1" w:rsidR="00C672F8" w:rsidRDefault="00C672F8">
      <w:pPr>
        <w:jc w:val="both"/>
      </w:pPr>
      <w:r>
        <w:t xml:space="preserve">To odpovídá i názoru odborné společnosti, kdy dle současné informace z praxe vyplývá, že při aplikaci léků do sklivcového prostoru u diagnózy VPMD je četnost aplikací 12x za rok, </w:t>
      </w:r>
      <w:r w:rsidR="00AE1538">
        <w:t xml:space="preserve">s postupným úbytkem četnosti až k 8x ročně (velmi záleží na stavu pacienta). </w:t>
      </w:r>
      <w:r w:rsidR="00AE1538">
        <w:rPr>
          <w:rStyle w:val="Znakapoznpodarou"/>
        </w:rPr>
        <w:footnoteReference w:id="3"/>
      </w:r>
    </w:p>
    <w:p w14:paraId="308E70A2" w14:textId="77777777" w:rsidR="00AE1538" w:rsidRDefault="00AE1538">
      <w:pPr>
        <w:jc w:val="both"/>
      </w:pPr>
    </w:p>
    <w:p w14:paraId="520C91EE" w14:textId="7E8D069C" w:rsidR="00AE1538" w:rsidRDefault="00AE1538">
      <w:pPr>
        <w:jc w:val="both"/>
      </w:pPr>
      <w:r>
        <w:t xml:space="preserve">Pro potřeby analýzy dopadu na rozpočet byl tedy stanoven následující počet injekcí srovnávané intervence: </w:t>
      </w:r>
    </w:p>
    <w:tbl>
      <w:tblPr>
        <w:tblStyle w:val="Mkatabulky"/>
        <w:tblW w:w="0" w:type="auto"/>
        <w:tblLook w:val="04A0" w:firstRow="1" w:lastRow="0" w:firstColumn="1" w:lastColumn="0" w:noHBand="0" w:noVBand="1"/>
      </w:tblPr>
      <w:tblGrid>
        <w:gridCol w:w="1795"/>
        <w:gridCol w:w="1716"/>
        <w:gridCol w:w="1397"/>
        <w:gridCol w:w="1384"/>
        <w:gridCol w:w="1385"/>
        <w:gridCol w:w="1385"/>
      </w:tblGrid>
      <w:tr w:rsidR="00AE1538" w:rsidRPr="00AE1538" w14:paraId="3D97CAEC" w14:textId="77777777" w:rsidTr="001F6D46">
        <w:tc>
          <w:tcPr>
            <w:tcW w:w="1838" w:type="dxa"/>
          </w:tcPr>
          <w:p w14:paraId="36255839" w14:textId="5D85C4A8" w:rsidR="00AE1538" w:rsidRPr="00AE1538" w:rsidRDefault="00AE1538" w:rsidP="00AE1538">
            <w:pPr>
              <w:jc w:val="both"/>
              <w:rPr>
                <w:sz w:val="20"/>
                <w:szCs w:val="20"/>
              </w:rPr>
            </w:pPr>
            <w:r w:rsidRPr="00AE1538">
              <w:rPr>
                <w:sz w:val="20"/>
                <w:szCs w:val="20"/>
              </w:rPr>
              <w:t>Léčivo</w:t>
            </w:r>
          </w:p>
        </w:tc>
        <w:tc>
          <w:tcPr>
            <w:tcW w:w="1504" w:type="dxa"/>
          </w:tcPr>
          <w:p w14:paraId="30651DC9" w14:textId="6F4E9E8C" w:rsidR="00AE1538" w:rsidRPr="00AE1538" w:rsidRDefault="00AE1538" w:rsidP="00AE1538">
            <w:pPr>
              <w:jc w:val="both"/>
              <w:rPr>
                <w:sz w:val="20"/>
                <w:szCs w:val="20"/>
              </w:rPr>
            </w:pPr>
            <w:r w:rsidRPr="00AE1538">
              <w:rPr>
                <w:sz w:val="20"/>
                <w:szCs w:val="20"/>
              </w:rPr>
              <w:t>1. rok léčby</w:t>
            </w:r>
          </w:p>
        </w:tc>
        <w:tc>
          <w:tcPr>
            <w:tcW w:w="1440" w:type="dxa"/>
          </w:tcPr>
          <w:p w14:paraId="32347CB1" w14:textId="2E02004F" w:rsidR="00AE1538" w:rsidRPr="00AE1538" w:rsidRDefault="00AE1538" w:rsidP="00AE1538">
            <w:pPr>
              <w:jc w:val="both"/>
              <w:rPr>
                <w:sz w:val="20"/>
                <w:szCs w:val="20"/>
              </w:rPr>
            </w:pPr>
            <w:r w:rsidRPr="00AE1538">
              <w:rPr>
                <w:sz w:val="20"/>
                <w:szCs w:val="20"/>
              </w:rPr>
              <w:t>2. rok léčby</w:t>
            </w:r>
          </w:p>
        </w:tc>
        <w:tc>
          <w:tcPr>
            <w:tcW w:w="1426" w:type="dxa"/>
          </w:tcPr>
          <w:p w14:paraId="22A04F85" w14:textId="3555C09E" w:rsidR="00AE1538" w:rsidRPr="00AE1538" w:rsidRDefault="00AE1538" w:rsidP="00AE1538">
            <w:pPr>
              <w:jc w:val="both"/>
              <w:rPr>
                <w:sz w:val="20"/>
                <w:szCs w:val="20"/>
              </w:rPr>
            </w:pPr>
            <w:r w:rsidRPr="00AE1538">
              <w:rPr>
                <w:sz w:val="20"/>
                <w:szCs w:val="20"/>
              </w:rPr>
              <w:t>3. rok léčby</w:t>
            </w:r>
          </w:p>
        </w:tc>
        <w:tc>
          <w:tcPr>
            <w:tcW w:w="1427" w:type="dxa"/>
          </w:tcPr>
          <w:p w14:paraId="7B176426" w14:textId="5233C3EF" w:rsidR="00AE1538" w:rsidRPr="00AE1538" w:rsidRDefault="00AE1538" w:rsidP="00AE1538">
            <w:pPr>
              <w:jc w:val="both"/>
              <w:rPr>
                <w:sz w:val="20"/>
                <w:szCs w:val="20"/>
              </w:rPr>
            </w:pPr>
            <w:r w:rsidRPr="00AE1538">
              <w:rPr>
                <w:sz w:val="20"/>
                <w:szCs w:val="20"/>
              </w:rPr>
              <w:t>4. rok léčby</w:t>
            </w:r>
          </w:p>
        </w:tc>
        <w:tc>
          <w:tcPr>
            <w:tcW w:w="1427" w:type="dxa"/>
          </w:tcPr>
          <w:p w14:paraId="4B6A06E8" w14:textId="76ECC2EC" w:rsidR="00AE1538" w:rsidRPr="00AE1538" w:rsidRDefault="00AE1538" w:rsidP="00AE1538">
            <w:pPr>
              <w:jc w:val="both"/>
              <w:rPr>
                <w:sz w:val="20"/>
                <w:szCs w:val="20"/>
              </w:rPr>
            </w:pPr>
            <w:r w:rsidRPr="00AE1538">
              <w:rPr>
                <w:sz w:val="20"/>
                <w:szCs w:val="20"/>
              </w:rPr>
              <w:t>5. rok léčby</w:t>
            </w:r>
          </w:p>
        </w:tc>
      </w:tr>
      <w:tr w:rsidR="00AE1538" w:rsidRPr="00AE1538" w14:paraId="52BF213C" w14:textId="77777777" w:rsidTr="001F6D46">
        <w:tc>
          <w:tcPr>
            <w:tcW w:w="1838" w:type="dxa"/>
          </w:tcPr>
          <w:p w14:paraId="5854A335" w14:textId="6414BB44" w:rsidR="00AE1538" w:rsidRPr="00AE1538" w:rsidRDefault="00AE1538" w:rsidP="00AE1538">
            <w:pPr>
              <w:jc w:val="both"/>
              <w:rPr>
                <w:sz w:val="20"/>
                <w:szCs w:val="20"/>
              </w:rPr>
            </w:pPr>
            <w:r w:rsidRPr="00AE1538">
              <w:rPr>
                <w:sz w:val="20"/>
                <w:szCs w:val="20"/>
              </w:rPr>
              <w:t>Lucentis (současná standardní léčba)</w:t>
            </w:r>
          </w:p>
        </w:tc>
        <w:tc>
          <w:tcPr>
            <w:tcW w:w="1504" w:type="dxa"/>
          </w:tcPr>
          <w:p w14:paraId="03509502" w14:textId="658945B3" w:rsidR="00AE1538" w:rsidRPr="00AE1538" w:rsidRDefault="00AE1538" w:rsidP="00AE1538">
            <w:pPr>
              <w:jc w:val="both"/>
              <w:rPr>
                <w:sz w:val="20"/>
                <w:szCs w:val="20"/>
              </w:rPr>
            </w:pPr>
            <w:r w:rsidRPr="00AE1538">
              <w:rPr>
                <w:sz w:val="20"/>
                <w:szCs w:val="20"/>
              </w:rPr>
              <w:t>12 aplikací za rok</w:t>
            </w:r>
          </w:p>
        </w:tc>
        <w:tc>
          <w:tcPr>
            <w:tcW w:w="1440" w:type="dxa"/>
          </w:tcPr>
          <w:p w14:paraId="457115F7" w14:textId="0E3D8636" w:rsidR="00AE1538" w:rsidRPr="00AE1538" w:rsidRDefault="00AE1538" w:rsidP="00AE1538">
            <w:pPr>
              <w:jc w:val="both"/>
              <w:rPr>
                <w:sz w:val="20"/>
                <w:szCs w:val="20"/>
              </w:rPr>
            </w:pPr>
            <w:r w:rsidRPr="00AE1538">
              <w:rPr>
                <w:sz w:val="20"/>
                <w:szCs w:val="20"/>
              </w:rPr>
              <w:t>11 aplikací za rok</w:t>
            </w:r>
          </w:p>
        </w:tc>
        <w:tc>
          <w:tcPr>
            <w:tcW w:w="1426" w:type="dxa"/>
          </w:tcPr>
          <w:p w14:paraId="1E646CF7" w14:textId="5AFF4598" w:rsidR="00AE1538" w:rsidRPr="00AE1538" w:rsidRDefault="00AE1538" w:rsidP="00AE1538">
            <w:pPr>
              <w:jc w:val="both"/>
              <w:rPr>
                <w:sz w:val="20"/>
                <w:szCs w:val="20"/>
              </w:rPr>
            </w:pPr>
            <w:r w:rsidRPr="00AE1538">
              <w:rPr>
                <w:sz w:val="20"/>
                <w:szCs w:val="20"/>
              </w:rPr>
              <w:t>10 aplikací za rok</w:t>
            </w:r>
          </w:p>
        </w:tc>
        <w:tc>
          <w:tcPr>
            <w:tcW w:w="1427" w:type="dxa"/>
          </w:tcPr>
          <w:p w14:paraId="0DB50E1C" w14:textId="24D428F5" w:rsidR="00AE1538" w:rsidRPr="00AE1538" w:rsidRDefault="00AE1538" w:rsidP="00AE1538">
            <w:pPr>
              <w:jc w:val="both"/>
              <w:rPr>
                <w:sz w:val="20"/>
                <w:szCs w:val="20"/>
              </w:rPr>
            </w:pPr>
            <w:r w:rsidRPr="00AE1538">
              <w:rPr>
                <w:sz w:val="20"/>
                <w:szCs w:val="20"/>
              </w:rPr>
              <w:t>9 aplikací za rok</w:t>
            </w:r>
          </w:p>
        </w:tc>
        <w:tc>
          <w:tcPr>
            <w:tcW w:w="1427" w:type="dxa"/>
          </w:tcPr>
          <w:p w14:paraId="75EAFB7F" w14:textId="6F1D81E4" w:rsidR="00AE1538" w:rsidRPr="00AE1538" w:rsidRDefault="00AE1538" w:rsidP="00AE1538">
            <w:pPr>
              <w:jc w:val="both"/>
              <w:rPr>
                <w:sz w:val="20"/>
                <w:szCs w:val="20"/>
              </w:rPr>
            </w:pPr>
            <w:r w:rsidRPr="00AE1538">
              <w:rPr>
                <w:sz w:val="20"/>
                <w:szCs w:val="20"/>
              </w:rPr>
              <w:t>8 aplikací za rok</w:t>
            </w:r>
          </w:p>
        </w:tc>
      </w:tr>
      <w:tr w:rsidR="00AE1538" w:rsidRPr="00AE1538" w14:paraId="39F6A35E" w14:textId="77777777" w:rsidTr="001F6D46">
        <w:tc>
          <w:tcPr>
            <w:tcW w:w="1838" w:type="dxa"/>
          </w:tcPr>
          <w:p w14:paraId="7E0F076B" w14:textId="56443776" w:rsidR="00AE1538" w:rsidRPr="00AE1538" w:rsidRDefault="00AE1538" w:rsidP="00AE1538">
            <w:pPr>
              <w:jc w:val="both"/>
              <w:rPr>
                <w:sz w:val="20"/>
                <w:szCs w:val="20"/>
              </w:rPr>
            </w:pPr>
            <w:r w:rsidRPr="00AE1538">
              <w:rPr>
                <w:sz w:val="20"/>
                <w:szCs w:val="20"/>
              </w:rPr>
              <w:t xml:space="preserve">Ranibizumab </w:t>
            </w:r>
            <w:r w:rsidR="004D3274">
              <w:rPr>
                <w:sz w:val="20"/>
                <w:szCs w:val="20"/>
              </w:rPr>
              <w:t xml:space="preserve">100 mg/ml </w:t>
            </w:r>
            <w:r w:rsidRPr="00AE1538">
              <w:rPr>
                <w:sz w:val="20"/>
                <w:szCs w:val="20"/>
              </w:rPr>
              <w:t>(PDP)</w:t>
            </w:r>
          </w:p>
        </w:tc>
        <w:tc>
          <w:tcPr>
            <w:tcW w:w="1504" w:type="dxa"/>
          </w:tcPr>
          <w:p w14:paraId="74508C88" w14:textId="59C632C9" w:rsidR="00AE1538" w:rsidRPr="00AE1538" w:rsidRDefault="00AE1538" w:rsidP="00AE1538">
            <w:pPr>
              <w:jc w:val="both"/>
              <w:rPr>
                <w:sz w:val="20"/>
                <w:szCs w:val="20"/>
              </w:rPr>
            </w:pPr>
            <w:r w:rsidRPr="00AE1538">
              <w:rPr>
                <w:sz w:val="20"/>
                <w:szCs w:val="20"/>
              </w:rPr>
              <w:t>Primoimplantace + 1 aplikace doplnění</w:t>
            </w:r>
          </w:p>
        </w:tc>
        <w:tc>
          <w:tcPr>
            <w:tcW w:w="1440" w:type="dxa"/>
          </w:tcPr>
          <w:p w14:paraId="512C2ED9" w14:textId="0AB9BBE6" w:rsidR="00AE1538" w:rsidRPr="00AE1538" w:rsidRDefault="00AE1538" w:rsidP="00AE1538">
            <w:pPr>
              <w:jc w:val="both"/>
              <w:rPr>
                <w:sz w:val="20"/>
                <w:szCs w:val="20"/>
              </w:rPr>
            </w:pPr>
            <w:r w:rsidRPr="00AE1538">
              <w:rPr>
                <w:sz w:val="20"/>
                <w:szCs w:val="20"/>
              </w:rPr>
              <w:t>2 aplikace za rok</w:t>
            </w:r>
          </w:p>
        </w:tc>
        <w:tc>
          <w:tcPr>
            <w:tcW w:w="1426" w:type="dxa"/>
          </w:tcPr>
          <w:p w14:paraId="270E14D3" w14:textId="35AD7B54" w:rsidR="00AE1538" w:rsidRPr="00AE1538" w:rsidRDefault="00AE1538" w:rsidP="00AE1538">
            <w:pPr>
              <w:jc w:val="both"/>
              <w:rPr>
                <w:sz w:val="20"/>
                <w:szCs w:val="20"/>
              </w:rPr>
            </w:pPr>
            <w:r w:rsidRPr="00AE1538">
              <w:rPr>
                <w:sz w:val="20"/>
                <w:szCs w:val="20"/>
              </w:rPr>
              <w:t>2 aplikace za rok</w:t>
            </w:r>
          </w:p>
        </w:tc>
        <w:tc>
          <w:tcPr>
            <w:tcW w:w="1427" w:type="dxa"/>
          </w:tcPr>
          <w:p w14:paraId="62419BE5" w14:textId="5B6116D0" w:rsidR="00AE1538" w:rsidRPr="00AE1538" w:rsidRDefault="00AE1538" w:rsidP="00AE1538">
            <w:pPr>
              <w:jc w:val="both"/>
              <w:rPr>
                <w:sz w:val="20"/>
                <w:szCs w:val="20"/>
              </w:rPr>
            </w:pPr>
            <w:r w:rsidRPr="00AE1538">
              <w:rPr>
                <w:sz w:val="20"/>
                <w:szCs w:val="20"/>
              </w:rPr>
              <w:t>2 aplikace za rok</w:t>
            </w:r>
          </w:p>
        </w:tc>
        <w:tc>
          <w:tcPr>
            <w:tcW w:w="1427" w:type="dxa"/>
          </w:tcPr>
          <w:p w14:paraId="0A0697B5" w14:textId="36B50679" w:rsidR="00AE1538" w:rsidRPr="00AE1538" w:rsidRDefault="00AE1538" w:rsidP="00AE1538">
            <w:pPr>
              <w:jc w:val="both"/>
              <w:rPr>
                <w:sz w:val="20"/>
                <w:szCs w:val="20"/>
              </w:rPr>
            </w:pPr>
            <w:r w:rsidRPr="00AE1538">
              <w:rPr>
                <w:sz w:val="20"/>
                <w:szCs w:val="20"/>
              </w:rPr>
              <w:t>2 aplikace za rok</w:t>
            </w:r>
          </w:p>
        </w:tc>
      </w:tr>
    </w:tbl>
    <w:p w14:paraId="00000020" w14:textId="77777777" w:rsidR="006369AE" w:rsidRDefault="006369AE">
      <w:pPr>
        <w:jc w:val="both"/>
      </w:pPr>
    </w:p>
    <w:p w14:paraId="00000022" w14:textId="26B4237E" w:rsidR="006369AE" w:rsidRPr="00AE1538" w:rsidRDefault="00000000" w:rsidP="00AE1538">
      <w:pPr>
        <w:jc w:val="both"/>
      </w:pPr>
      <w:r w:rsidRPr="00AE1538">
        <w:t xml:space="preserve">Pro potřeby analýzy dopadu na rozpočet byla zvolena jako komparátor v České republice nejčastěji používaná léčba a to výkon </w:t>
      </w:r>
      <w:bookmarkStart w:id="1" w:name="OLE_LINK1"/>
      <w:r w:rsidRPr="00AE1538">
        <w:t>75231</w:t>
      </w:r>
      <w:bookmarkEnd w:id="1"/>
      <w:r w:rsidRPr="00AE1538">
        <w:t xml:space="preserve"> - APLIKACE LÉKŮ A LÉČEBNÝCH PROSTŘEDKŮ DO SKLIVCOVÉHO PROSTO</w:t>
      </w:r>
      <w:r w:rsidR="00B75CF9" w:rsidRPr="00AE1538">
        <w:t>R</w:t>
      </w:r>
      <w:r w:rsidRPr="00AE1538">
        <w:t>U</w:t>
      </w:r>
      <w:r w:rsidR="00B75CF9" w:rsidRPr="00AE1538">
        <w:t xml:space="preserve"> s aplikací léku LUCENTIS</w:t>
      </w:r>
      <w:r w:rsidR="00B75CF9" w:rsidRPr="00AE1538">
        <w:rPr>
          <w:rStyle w:val="Znakapoznpodarou"/>
        </w:rPr>
        <w:footnoteReference w:id="4"/>
      </w:r>
      <w:r w:rsidR="00B75CF9" w:rsidRPr="00AE1538">
        <w:t xml:space="preserve">. </w:t>
      </w:r>
    </w:p>
    <w:p w14:paraId="00000023" w14:textId="77777777" w:rsidR="006369AE" w:rsidRDefault="00000000">
      <w:r>
        <w:rPr>
          <w:noProof/>
        </w:rPr>
        <w:drawing>
          <wp:inline distT="0" distB="0" distL="0" distR="0" wp14:anchorId="511BFDD5" wp14:editId="39E5A228">
            <wp:extent cx="5760720" cy="1767205"/>
            <wp:effectExtent l="0" t="0" r="0" b="0"/>
            <wp:docPr id="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9"/>
                    <a:srcRect/>
                    <a:stretch>
                      <a:fillRect/>
                    </a:stretch>
                  </pic:blipFill>
                  <pic:spPr>
                    <a:xfrm>
                      <a:off x="0" y="0"/>
                      <a:ext cx="5760720" cy="1767205"/>
                    </a:xfrm>
                    <a:prstGeom prst="rect">
                      <a:avLst/>
                    </a:prstGeom>
                    <a:ln/>
                  </pic:spPr>
                </pic:pic>
              </a:graphicData>
            </a:graphic>
          </wp:inline>
        </w:drawing>
      </w:r>
    </w:p>
    <w:p w14:paraId="14C01547" w14:textId="677B3679" w:rsidR="00B75CF9" w:rsidRPr="001F6D46" w:rsidRDefault="00B75CF9" w:rsidP="001F6D46">
      <w:pPr>
        <w:jc w:val="center"/>
        <w:rPr>
          <w:i/>
          <w:iCs/>
        </w:rPr>
      </w:pPr>
      <w:r w:rsidRPr="00AE1538">
        <w:rPr>
          <w:i/>
          <w:iCs/>
        </w:rPr>
        <w:t>Obr. 1: Snímek ze seznamu výkonů MZ ČR</w:t>
      </w:r>
      <w:r w:rsidRPr="00AE1538">
        <w:rPr>
          <w:rStyle w:val="Znakapoznpodarou"/>
          <w:i/>
          <w:iCs/>
        </w:rPr>
        <w:footnoteReference w:id="5"/>
      </w:r>
    </w:p>
    <w:p w14:paraId="00000025" w14:textId="77777777" w:rsidR="006369AE" w:rsidRDefault="00000000">
      <w:pPr>
        <w:pStyle w:val="Nadpis1"/>
        <w:numPr>
          <w:ilvl w:val="0"/>
          <w:numId w:val="1"/>
        </w:numPr>
      </w:pPr>
      <w:r>
        <w:lastRenderedPageBreak/>
        <w:t>Analýza dopadu na rozpočet</w:t>
      </w:r>
    </w:p>
    <w:p w14:paraId="00000026" w14:textId="77777777" w:rsidR="006369AE" w:rsidRDefault="00000000">
      <w:pPr>
        <w:pStyle w:val="Nadpis2"/>
        <w:numPr>
          <w:ilvl w:val="1"/>
          <w:numId w:val="1"/>
        </w:numPr>
        <w:ind w:hanging="432"/>
      </w:pPr>
      <w:bookmarkStart w:id="2" w:name="_Ref228866265"/>
      <w:r>
        <w:t>Výběr populace</w:t>
      </w:r>
      <w:bookmarkEnd w:id="2"/>
    </w:p>
    <w:p w14:paraId="00000027" w14:textId="77777777" w:rsidR="006369AE" w:rsidRDefault="00000000">
      <w:pPr>
        <w:pStyle w:val="Nadpis3"/>
        <w:numPr>
          <w:ilvl w:val="2"/>
          <w:numId w:val="1"/>
        </w:numPr>
      </w:pPr>
      <w:r>
        <w:t>Cílová populace</w:t>
      </w:r>
    </w:p>
    <w:p w14:paraId="00000028" w14:textId="77777777" w:rsidR="006369AE" w:rsidRDefault="00000000">
      <w:r>
        <w:t>Cílovou populací pro systém PDP jsou primárně dospělí pacienti, kteří splňují tato klíčová kritéria:</w:t>
      </w:r>
    </w:p>
    <w:p w14:paraId="00000029" w14:textId="1C4C35E2" w:rsidR="006369AE" w:rsidRDefault="00000000">
      <w:pPr>
        <w:numPr>
          <w:ilvl w:val="0"/>
          <w:numId w:val="3"/>
        </w:numPr>
        <w:pBdr>
          <w:top w:val="nil"/>
          <w:left w:val="nil"/>
          <w:bottom w:val="nil"/>
          <w:right w:val="nil"/>
          <w:between w:val="nil"/>
        </w:pBdr>
      </w:pPr>
      <w:r>
        <w:rPr>
          <w:color w:val="000000"/>
        </w:rPr>
        <w:t>Pacienti léčící se s neovaskulární (vlhkou) formou věkem podmíněné makulární degenerace (nAMD/wAMD</w:t>
      </w:r>
      <w:r w:rsidR="000570D4">
        <w:rPr>
          <w:color w:val="000000"/>
        </w:rPr>
        <w:t>/VPMD</w:t>
      </w:r>
      <w:r>
        <w:rPr>
          <w:color w:val="000000"/>
        </w:rPr>
        <w:t>).</w:t>
      </w:r>
    </w:p>
    <w:p w14:paraId="0000002A" w14:textId="303EE59C" w:rsidR="006369AE" w:rsidRPr="000570D4" w:rsidRDefault="00000000">
      <w:pPr>
        <w:numPr>
          <w:ilvl w:val="0"/>
          <w:numId w:val="3"/>
        </w:numPr>
        <w:pBdr>
          <w:top w:val="nil"/>
          <w:left w:val="nil"/>
          <w:bottom w:val="nil"/>
          <w:right w:val="nil"/>
          <w:between w:val="nil"/>
        </w:pBdr>
      </w:pPr>
      <w:r>
        <w:rPr>
          <w:color w:val="000000"/>
        </w:rPr>
        <w:t>Dále pacienti s diagnózou diabetický makulární edém (DME) a diabetickou retinopatii (DR).</w:t>
      </w:r>
    </w:p>
    <w:p w14:paraId="3D4BA509" w14:textId="45B791EF" w:rsidR="000570D4" w:rsidRDefault="000570D4" w:rsidP="000570D4">
      <w:pPr>
        <w:pBdr>
          <w:top w:val="nil"/>
          <w:left w:val="nil"/>
          <w:bottom w:val="nil"/>
          <w:right w:val="nil"/>
          <w:between w:val="nil"/>
        </w:pBdr>
        <w:rPr>
          <w:color w:val="000000"/>
        </w:rPr>
      </w:pPr>
      <w:r>
        <w:rPr>
          <w:color w:val="000000"/>
        </w:rPr>
        <w:t xml:space="preserve">Pro potřeby analýzy dopadu na rozpočet byla na základě poměru vykázaných výkonů stanovena diagnóza VPDM. </w:t>
      </w:r>
    </w:p>
    <w:p w14:paraId="2271ED72" w14:textId="77777777" w:rsidR="000570D4" w:rsidRDefault="000570D4" w:rsidP="000570D4">
      <w:r>
        <w:t xml:space="preserve">Z produkčních dat VZP byl dále stanoven poměr mezi diagnózami pro daný výkon, a to pomocí vykázaných léčivých přípravků pro danou diagnózu. </w:t>
      </w:r>
    </w:p>
    <w:tbl>
      <w:tblPr>
        <w:tblStyle w:val="Mkatabulky"/>
        <w:tblW w:w="0" w:type="auto"/>
        <w:tblLook w:val="04A0" w:firstRow="1" w:lastRow="0" w:firstColumn="1" w:lastColumn="0" w:noHBand="0" w:noVBand="1"/>
      </w:tblPr>
      <w:tblGrid>
        <w:gridCol w:w="4673"/>
        <w:gridCol w:w="992"/>
        <w:gridCol w:w="851"/>
        <w:gridCol w:w="854"/>
        <w:gridCol w:w="859"/>
        <w:gridCol w:w="833"/>
      </w:tblGrid>
      <w:tr w:rsidR="000570D4" w:rsidRPr="000570D4" w14:paraId="50AA70C7" w14:textId="77777777" w:rsidTr="006C45E4">
        <w:trPr>
          <w:trHeight w:val="680"/>
        </w:trPr>
        <w:tc>
          <w:tcPr>
            <w:tcW w:w="4673" w:type="dxa"/>
            <w:hideMark/>
          </w:tcPr>
          <w:p w14:paraId="07AF020A" w14:textId="5DB54838" w:rsidR="000570D4" w:rsidRPr="000570D4" w:rsidRDefault="000570D4" w:rsidP="006C45E4">
            <w:pPr>
              <w:rPr>
                <w:b/>
                <w:bCs/>
                <w:sz w:val="20"/>
                <w:szCs w:val="20"/>
              </w:rPr>
            </w:pPr>
            <w:r w:rsidRPr="000570D4">
              <w:rPr>
                <w:b/>
                <w:bCs/>
                <w:sz w:val="20"/>
                <w:szCs w:val="20"/>
              </w:rPr>
              <w:t>Diagnózy kde se používají léč</w:t>
            </w:r>
            <w:r w:rsidR="004D3274">
              <w:rPr>
                <w:b/>
                <w:bCs/>
                <w:sz w:val="20"/>
                <w:szCs w:val="20"/>
              </w:rPr>
              <w:t>i</w:t>
            </w:r>
            <w:r w:rsidRPr="000570D4">
              <w:rPr>
                <w:b/>
                <w:bCs/>
                <w:sz w:val="20"/>
                <w:szCs w:val="20"/>
              </w:rPr>
              <w:t>va poskytovaná v centrech se zvláštní smlouvu (např. Lucentis)</w:t>
            </w:r>
          </w:p>
        </w:tc>
        <w:tc>
          <w:tcPr>
            <w:tcW w:w="992" w:type="dxa"/>
            <w:noWrap/>
            <w:hideMark/>
          </w:tcPr>
          <w:p w14:paraId="5FEDE204" w14:textId="77777777" w:rsidR="000570D4" w:rsidRPr="000570D4" w:rsidRDefault="000570D4" w:rsidP="006C45E4">
            <w:pPr>
              <w:rPr>
                <w:b/>
                <w:bCs/>
                <w:sz w:val="20"/>
                <w:szCs w:val="20"/>
              </w:rPr>
            </w:pPr>
            <w:r w:rsidRPr="000570D4">
              <w:rPr>
                <w:b/>
                <w:bCs/>
                <w:sz w:val="20"/>
                <w:szCs w:val="20"/>
              </w:rPr>
              <w:t>2021</w:t>
            </w:r>
          </w:p>
        </w:tc>
        <w:tc>
          <w:tcPr>
            <w:tcW w:w="851" w:type="dxa"/>
            <w:noWrap/>
            <w:hideMark/>
          </w:tcPr>
          <w:p w14:paraId="4404AFFC" w14:textId="77777777" w:rsidR="000570D4" w:rsidRPr="000570D4" w:rsidRDefault="000570D4" w:rsidP="006C45E4">
            <w:pPr>
              <w:rPr>
                <w:b/>
                <w:bCs/>
                <w:sz w:val="20"/>
                <w:szCs w:val="20"/>
              </w:rPr>
            </w:pPr>
            <w:r w:rsidRPr="000570D4">
              <w:rPr>
                <w:b/>
                <w:bCs/>
                <w:sz w:val="20"/>
                <w:szCs w:val="20"/>
              </w:rPr>
              <w:t>2022</w:t>
            </w:r>
          </w:p>
        </w:tc>
        <w:tc>
          <w:tcPr>
            <w:tcW w:w="854" w:type="dxa"/>
            <w:noWrap/>
            <w:hideMark/>
          </w:tcPr>
          <w:p w14:paraId="02E02C0B" w14:textId="77777777" w:rsidR="000570D4" w:rsidRPr="000570D4" w:rsidRDefault="000570D4" w:rsidP="006C45E4">
            <w:pPr>
              <w:rPr>
                <w:b/>
                <w:bCs/>
                <w:sz w:val="20"/>
                <w:szCs w:val="20"/>
              </w:rPr>
            </w:pPr>
            <w:r w:rsidRPr="000570D4">
              <w:rPr>
                <w:b/>
                <w:bCs/>
                <w:sz w:val="20"/>
                <w:szCs w:val="20"/>
              </w:rPr>
              <w:t>2023</w:t>
            </w:r>
          </w:p>
        </w:tc>
        <w:tc>
          <w:tcPr>
            <w:tcW w:w="859" w:type="dxa"/>
            <w:noWrap/>
            <w:hideMark/>
          </w:tcPr>
          <w:p w14:paraId="6D065F23" w14:textId="77777777" w:rsidR="000570D4" w:rsidRPr="000570D4" w:rsidRDefault="000570D4" w:rsidP="006C45E4">
            <w:pPr>
              <w:rPr>
                <w:b/>
                <w:bCs/>
                <w:sz w:val="20"/>
                <w:szCs w:val="20"/>
              </w:rPr>
            </w:pPr>
            <w:r w:rsidRPr="000570D4">
              <w:rPr>
                <w:b/>
                <w:bCs/>
                <w:sz w:val="20"/>
                <w:szCs w:val="20"/>
              </w:rPr>
              <w:t>2024</w:t>
            </w:r>
          </w:p>
        </w:tc>
        <w:tc>
          <w:tcPr>
            <w:tcW w:w="833" w:type="dxa"/>
            <w:noWrap/>
            <w:hideMark/>
          </w:tcPr>
          <w:p w14:paraId="287CA3F3" w14:textId="77777777" w:rsidR="000570D4" w:rsidRPr="000570D4" w:rsidRDefault="000570D4" w:rsidP="006C45E4">
            <w:pPr>
              <w:rPr>
                <w:b/>
                <w:bCs/>
                <w:sz w:val="20"/>
                <w:szCs w:val="20"/>
              </w:rPr>
            </w:pPr>
            <w:r w:rsidRPr="000570D4">
              <w:rPr>
                <w:b/>
                <w:bCs/>
                <w:sz w:val="20"/>
                <w:szCs w:val="20"/>
              </w:rPr>
              <w:t>2025</w:t>
            </w:r>
          </w:p>
        </w:tc>
      </w:tr>
      <w:tr w:rsidR="000570D4" w:rsidRPr="000570D4" w14:paraId="7A77517A" w14:textId="77777777" w:rsidTr="006C45E4">
        <w:trPr>
          <w:trHeight w:val="680"/>
        </w:trPr>
        <w:tc>
          <w:tcPr>
            <w:tcW w:w="4673" w:type="dxa"/>
            <w:hideMark/>
          </w:tcPr>
          <w:p w14:paraId="35B5516B" w14:textId="77777777" w:rsidR="000570D4" w:rsidRPr="000570D4" w:rsidRDefault="000570D4" w:rsidP="006C45E4">
            <w:pPr>
              <w:rPr>
                <w:sz w:val="20"/>
                <w:szCs w:val="20"/>
              </w:rPr>
            </w:pPr>
            <w:r w:rsidRPr="000570D4">
              <w:rPr>
                <w:sz w:val="20"/>
                <w:szCs w:val="20"/>
              </w:rPr>
              <w:t>OFT - Oftalmologie (Neovaskulární věkem podmíněná makulární degenerace (VPMD))</w:t>
            </w:r>
          </w:p>
        </w:tc>
        <w:tc>
          <w:tcPr>
            <w:tcW w:w="992" w:type="dxa"/>
            <w:noWrap/>
            <w:hideMark/>
          </w:tcPr>
          <w:p w14:paraId="08014885" w14:textId="77777777" w:rsidR="000570D4" w:rsidRPr="000570D4" w:rsidRDefault="000570D4" w:rsidP="006C45E4">
            <w:pPr>
              <w:rPr>
                <w:sz w:val="20"/>
                <w:szCs w:val="20"/>
              </w:rPr>
            </w:pPr>
            <w:r w:rsidRPr="000570D4">
              <w:rPr>
                <w:sz w:val="20"/>
                <w:szCs w:val="20"/>
              </w:rPr>
              <w:t>8486</w:t>
            </w:r>
          </w:p>
        </w:tc>
        <w:tc>
          <w:tcPr>
            <w:tcW w:w="851" w:type="dxa"/>
            <w:noWrap/>
            <w:hideMark/>
          </w:tcPr>
          <w:p w14:paraId="3447D735" w14:textId="77777777" w:rsidR="000570D4" w:rsidRPr="000570D4" w:rsidRDefault="000570D4" w:rsidP="006C45E4">
            <w:pPr>
              <w:rPr>
                <w:sz w:val="20"/>
                <w:szCs w:val="20"/>
              </w:rPr>
            </w:pPr>
            <w:r w:rsidRPr="000570D4">
              <w:rPr>
                <w:sz w:val="20"/>
                <w:szCs w:val="20"/>
              </w:rPr>
              <w:t>9744</w:t>
            </w:r>
          </w:p>
        </w:tc>
        <w:tc>
          <w:tcPr>
            <w:tcW w:w="854" w:type="dxa"/>
            <w:noWrap/>
            <w:hideMark/>
          </w:tcPr>
          <w:p w14:paraId="4317CB45" w14:textId="77777777" w:rsidR="000570D4" w:rsidRPr="000570D4" w:rsidRDefault="000570D4" w:rsidP="006C45E4">
            <w:pPr>
              <w:rPr>
                <w:sz w:val="20"/>
                <w:szCs w:val="20"/>
              </w:rPr>
            </w:pPr>
            <w:r w:rsidRPr="000570D4">
              <w:rPr>
                <w:sz w:val="20"/>
                <w:szCs w:val="20"/>
              </w:rPr>
              <w:t>11197</w:t>
            </w:r>
          </w:p>
        </w:tc>
        <w:tc>
          <w:tcPr>
            <w:tcW w:w="859" w:type="dxa"/>
            <w:noWrap/>
            <w:hideMark/>
          </w:tcPr>
          <w:p w14:paraId="02DDE6B1" w14:textId="77777777" w:rsidR="000570D4" w:rsidRPr="000570D4" w:rsidRDefault="000570D4" w:rsidP="006C45E4">
            <w:pPr>
              <w:rPr>
                <w:sz w:val="20"/>
                <w:szCs w:val="20"/>
              </w:rPr>
            </w:pPr>
            <w:r w:rsidRPr="000570D4">
              <w:rPr>
                <w:sz w:val="20"/>
                <w:szCs w:val="20"/>
              </w:rPr>
              <w:t>12944</w:t>
            </w:r>
          </w:p>
        </w:tc>
        <w:tc>
          <w:tcPr>
            <w:tcW w:w="833" w:type="dxa"/>
            <w:noWrap/>
            <w:hideMark/>
          </w:tcPr>
          <w:p w14:paraId="15E7D8DD" w14:textId="77777777" w:rsidR="000570D4" w:rsidRPr="000570D4" w:rsidRDefault="000570D4" w:rsidP="006C45E4">
            <w:pPr>
              <w:rPr>
                <w:sz w:val="20"/>
                <w:szCs w:val="20"/>
              </w:rPr>
            </w:pPr>
            <w:r w:rsidRPr="000570D4">
              <w:rPr>
                <w:sz w:val="20"/>
                <w:szCs w:val="20"/>
              </w:rPr>
              <w:t>14546</w:t>
            </w:r>
          </w:p>
        </w:tc>
      </w:tr>
      <w:tr w:rsidR="000570D4" w:rsidRPr="000570D4" w14:paraId="0D73D3CB" w14:textId="77777777" w:rsidTr="006C45E4">
        <w:trPr>
          <w:trHeight w:val="1020"/>
        </w:trPr>
        <w:tc>
          <w:tcPr>
            <w:tcW w:w="4673" w:type="dxa"/>
            <w:hideMark/>
          </w:tcPr>
          <w:p w14:paraId="4E7DB932" w14:textId="77777777" w:rsidR="000570D4" w:rsidRPr="000570D4" w:rsidRDefault="000570D4" w:rsidP="006C45E4">
            <w:pPr>
              <w:rPr>
                <w:sz w:val="20"/>
                <w:szCs w:val="20"/>
              </w:rPr>
            </w:pPr>
            <w:r w:rsidRPr="000570D4">
              <w:rPr>
                <w:sz w:val="20"/>
                <w:szCs w:val="20"/>
              </w:rPr>
              <w:t>ODM - Oftalmologie-diabetes mellitus (Diabetický makulární edém, Diabetická retinopatie)</w:t>
            </w:r>
          </w:p>
        </w:tc>
        <w:tc>
          <w:tcPr>
            <w:tcW w:w="992" w:type="dxa"/>
            <w:noWrap/>
            <w:hideMark/>
          </w:tcPr>
          <w:p w14:paraId="48368104" w14:textId="77777777" w:rsidR="000570D4" w:rsidRPr="000570D4" w:rsidRDefault="000570D4" w:rsidP="006C45E4">
            <w:pPr>
              <w:rPr>
                <w:sz w:val="20"/>
                <w:szCs w:val="20"/>
              </w:rPr>
            </w:pPr>
            <w:r w:rsidRPr="000570D4">
              <w:rPr>
                <w:sz w:val="20"/>
                <w:szCs w:val="20"/>
              </w:rPr>
              <w:t>955</w:t>
            </w:r>
          </w:p>
        </w:tc>
        <w:tc>
          <w:tcPr>
            <w:tcW w:w="851" w:type="dxa"/>
            <w:noWrap/>
            <w:hideMark/>
          </w:tcPr>
          <w:p w14:paraId="6E0045BA" w14:textId="77777777" w:rsidR="000570D4" w:rsidRPr="000570D4" w:rsidRDefault="000570D4" w:rsidP="006C45E4">
            <w:pPr>
              <w:rPr>
                <w:sz w:val="20"/>
                <w:szCs w:val="20"/>
              </w:rPr>
            </w:pPr>
            <w:r w:rsidRPr="000570D4">
              <w:rPr>
                <w:sz w:val="20"/>
                <w:szCs w:val="20"/>
              </w:rPr>
              <w:t>1424</w:t>
            </w:r>
          </w:p>
        </w:tc>
        <w:tc>
          <w:tcPr>
            <w:tcW w:w="854" w:type="dxa"/>
            <w:noWrap/>
            <w:hideMark/>
          </w:tcPr>
          <w:p w14:paraId="1B7FD128" w14:textId="77777777" w:rsidR="000570D4" w:rsidRPr="000570D4" w:rsidRDefault="000570D4" w:rsidP="006C45E4">
            <w:pPr>
              <w:rPr>
                <w:sz w:val="20"/>
                <w:szCs w:val="20"/>
              </w:rPr>
            </w:pPr>
            <w:r w:rsidRPr="000570D4">
              <w:rPr>
                <w:sz w:val="20"/>
                <w:szCs w:val="20"/>
              </w:rPr>
              <w:t>1474</w:t>
            </w:r>
          </w:p>
        </w:tc>
        <w:tc>
          <w:tcPr>
            <w:tcW w:w="859" w:type="dxa"/>
            <w:noWrap/>
            <w:hideMark/>
          </w:tcPr>
          <w:p w14:paraId="1187A441" w14:textId="77777777" w:rsidR="000570D4" w:rsidRPr="000570D4" w:rsidRDefault="000570D4" w:rsidP="006C45E4">
            <w:pPr>
              <w:rPr>
                <w:sz w:val="20"/>
                <w:szCs w:val="20"/>
              </w:rPr>
            </w:pPr>
            <w:r w:rsidRPr="000570D4">
              <w:rPr>
                <w:sz w:val="20"/>
                <w:szCs w:val="20"/>
              </w:rPr>
              <w:t>1869</w:t>
            </w:r>
          </w:p>
        </w:tc>
        <w:tc>
          <w:tcPr>
            <w:tcW w:w="833" w:type="dxa"/>
            <w:noWrap/>
            <w:hideMark/>
          </w:tcPr>
          <w:p w14:paraId="1BB51859" w14:textId="77777777" w:rsidR="000570D4" w:rsidRPr="000570D4" w:rsidRDefault="000570D4" w:rsidP="006C45E4">
            <w:pPr>
              <w:rPr>
                <w:sz w:val="20"/>
                <w:szCs w:val="20"/>
              </w:rPr>
            </w:pPr>
            <w:r w:rsidRPr="000570D4">
              <w:rPr>
                <w:sz w:val="20"/>
                <w:szCs w:val="20"/>
              </w:rPr>
              <w:t>2170</w:t>
            </w:r>
          </w:p>
        </w:tc>
      </w:tr>
      <w:tr w:rsidR="000570D4" w:rsidRPr="000570D4" w14:paraId="1A701202" w14:textId="77777777" w:rsidTr="006C45E4">
        <w:trPr>
          <w:trHeight w:val="680"/>
        </w:trPr>
        <w:tc>
          <w:tcPr>
            <w:tcW w:w="4673" w:type="dxa"/>
            <w:hideMark/>
          </w:tcPr>
          <w:p w14:paraId="2F90D4D6" w14:textId="77777777" w:rsidR="000570D4" w:rsidRPr="000570D4" w:rsidRDefault="000570D4" w:rsidP="006C45E4">
            <w:pPr>
              <w:rPr>
                <w:sz w:val="20"/>
                <w:szCs w:val="20"/>
              </w:rPr>
            </w:pPr>
            <w:r w:rsidRPr="000570D4">
              <w:rPr>
                <w:sz w:val="20"/>
                <w:szCs w:val="20"/>
              </w:rPr>
              <w:t>CVO - Centrální venózní okluze ( Retinální venózní okluze)</w:t>
            </w:r>
          </w:p>
        </w:tc>
        <w:tc>
          <w:tcPr>
            <w:tcW w:w="992" w:type="dxa"/>
            <w:noWrap/>
            <w:hideMark/>
          </w:tcPr>
          <w:p w14:paraId="6241D129" w14:textId="77777777" w:rsidR="000570D4" w:rsidRPr="000570D4" w:rsidRDefault="000570D4" w:rsidP="006C45E4">
            <w:pPr>
              <w:rPr>
                <w:sz w:val="20"/>
                <w:szCs w:val="20"/>
              </w:rPr>
            </w:pPr>
            <w:r w:rsidRPr="000570D4">
              <w:rPr>
                <w:sz w:val="20"/>
                <w:szCs w:val="20"/>
              </w:rPr>
              <w:t>1208</w:t>
            </w:r>
          </w:p>
        </w:tc>
        <w:tc>
          <w:tcPr>
            <w:tcW w:w="851" w:type="dxa"/>
            <w:noWrap/>
            <w:hideMark/>
          </w:tcPr>
          <w:p w14:paraId="1201ED4F" w14:textId="77777777" w:rsidR="000570D4" w:rsidRPr="000570D4" w:rsidRDefault="000570D4" w:rsidP="006C45E4">
            <w:pPr>
              <w:rPr>
                <w:sz w:val="20"/>
                <w:szCs w:val="20"/>
              </w:rPr>
            </w:pPr>
            <w:r w:rsidRPr="000570D4">
              <w:rPr>
                <w:sz w:val="20"/>
                <w:szCs w:val="20"/>
              </w:rPr>
              <w:t>1159</w:t>
            </w:r>
          </w:p>
        </w:tc>
        <w:tc>
          <w:tcPr>
            <w:tcW w:w="854" w:type="dxa"/>
            <w:noWrap/>
            <w:hideMark/>
          </w:tcPr>
          <w:p w14:paraId="6EF9BA40" w14:textId="77777777" w:rsidR="000570D4" w:rsidRPr="000570D4" w:rsidRDefault="000570D4" w:rsidP="006C45E4">
            <w:pPr>
              <w:rPr>
                <w:sz w:val="20"/>
                <w:szCs w:val="20"/>
              </w:rPr>
            </w:pPr>
            <w:r w:rsidRPr="000570D4">
              <w:rPr>
                <w:sz w:val="20"/>
                <w:szCs w:val="20"/>
              </w:rPr>
              <w:t>1583</w:t>
            </w:r>
          </w:p>
        </w:tc>
        <w:tc>
          <w:tcPr>
            <w:tcW w:w="859" w:type="dxa"/>
            <w:noWrap/>
            <w:hideMark/>
          </w:tcPr>
          <w:p w14:paraId="7D6B1F2F" w14:textId="77777777" w:rsidR="000570D4" w:rsidRPr="000570D4" w:rsidRDefault="000570D4" w:rsidP="006C45E4">
            <w:pPr>
              <w:rPr>
                <w:sz w:val="20"/>
                <w:szCs w:val="20"/>
              </w:rPr>
            </w:pPr>
            <w:r w:rsidRPr="000570D4">
              <w:rPr>
                <w:sz w:val="20"/>
                <w:szCs w:val="20"/>
              </w:rPr>
              <w:t>1855</w:t>
            </w:r>
          </w:p>
        </w:tc>
        <w:tc>
          <w:tcPr>
            <w:tcW w:w="833" w:type="dxa"/>
            <w:noWrap/>
            <w:hideMark/>
          </w:tcPr>
          <w:p w14:paraId="11984A89" w14:textId="77777777" w:rsidR="000570D4" w:rsidRPr="000570D4" w:rsidRDefault="000570D4" w:rsidP="006C45E4">
            <w:pPr>
              <w:rPr>
                <w:sz w:val="20"/>
                <w:szCs w:val="20"/>
              </w:rPr>
            </w:pPr>
            <w:r w:rsidRPr="000570D4">
              <w:rPr>
                <w:sz w:val="20"/>
                <w:szCs w:val="20"/>
              </w:rPr>
              <w:t>2216</w:t>
            </w:r>
          </w:p>
        </w:tc>
      </w:tr>
      <w:tr w:rsidR="000570D4" w:rsidRPr="000570D4" w14:paraId="5979B21B" w14:textId="77777777" w:rsidTr="006C45E4">
        <w:trPr>
          <w:trHeight w:val="340"/>
        </w:trPr>
        <w:tc>
          <w:tcPr>
            <w:tcW w:w="4673" w:type="dxa"/>
            <w:hideMark/>
          </w:tcPr>
          <w:p w14:paraId="586F9EF5" w14:textId="77777777" w:rsidR="000570D4" w:rsidRPr="000570D4" w:rsidRDefault="000570D4" w:rsidP="006C45E4">
            <w:pPr>
              <w:rPr>
                <w:sz w:val="20"/>
                <w:szCs w:val="20"/>
              </w:rPr>
            </w:pPr>
            <w:r w:rsidRPr="000570D4">
              <w:rPr>
                <w:sz w:val="20"/>
                <w:szCs w:val="20"/>
              </w:rPr>
              <w:t>Celkem</w:t>
            </w:r>
          </w:p>
        </w:tc>
        <w:tc>
          <w:tcPr>
            <w:tcW w:w="992" w:type="dxa"/>
            <w:noWrap/>
            <w:hideMark/>
          </w:tcPr>
          <w:p w14:paraId="4D31FABD" w14:textId="77777777" w:rsidR="000570D4" w:rsidRPr="000570D4" w:rsidRDefault="000570D4" w:rsidP="006C45E4">
            <w:pPr>
              <w:rPr>
                <w:sz w:val="20"/>
                <w:szCs w:val="20"/>
              </w:rPr>
            </w:pPr>
            <w:r w:rsidRPr="000570D4">
              <w:rPr>
                <w:sz w:val="20"/>
                <w:szCs w:val="20"/>
              </w:rPr>
              <w:t>10649</w:t>
            </w:r>
          </w:p>
        </w:tc>
        <w:tc>
          <w:tcPr>
            <w:tcW w:w="851" w:type="dxa"/>
            <w:noWrap/>
            <w:hideMark/>
          </w:tcPr>
          <w:p w14:paraId="116D076B" w14:textId="77777777" w:rsidR="000570D4" w:rsidRPr="000570D4" w:rsidRDefault="000570D4" w:rsidP="006C45E4">
            <w:pPr>
              <w:rPr>
                <w:sz w:val="20"/>
                <w:szCs w:val="20"/>
              </w:rPr>
            </w:pPr>
            <w:r w:rsidRPr="000570D4">
              <w:rPr>
                <w:sz w:val="20"/>
                <w:szCs w:val="20"/>
              </w:rPr>
              <w:t>12327</w:t>
            </w:r>
          </w:p>
        </w:tc>
        <w:tc>
          <w:tcPr>
            <w:tcW w:w="854" w:type="dxa"/>
            <w:noWrap/>
            <w:hideMark/>
          </w:tcPr>
          <w:p w14:paraId="1EC256C9" w14:textId="77777777" w:rsidR="000570D4" w:rsidRPr="000570D4" w:rsidRDefault="000570D4" w:rsidP="006C45E4">
            <w:pPr>
              <w:rPr>
                <w:sz w:val="20"/>
                <w:szCs w:val="20"/>
              </w:rPr>
            </w:pPr>
            <w:r w:rsidRPr="000570D4">
              <w:rPr>
                <w:sz w:val="20"/>
                <w:szCs w:val="20"/>
              </w:rPr>
              <w:t>14254</w:t>
            </w:r>
          </w:p>
        </w:tc>
        <w:tc>
          <w:tcPr>
            <w:tcW w:w="859" w:type="dxa"/>
            <w:noWrap/>
            <w:hideMark/>
          </w:tcPr>
          <w:p w14:paraId="2088185D" w14:textId="77777777" w:rsidR="000570D4" w:rsidRPr="000570D4" w:rsidRDefault="000570D4" w:rsidP="006C45E4">
            <w:pPr>
              <w:rPr>
                <w:sz w:val="20"/>
                <w:szCs w:val="20"/>
              </w:rPr>
            </w:pPr>
            <w:r w:rsidRPr="000570D4">
              <w:rPr>
                <w:sz w:val="20"/>
                <w:szCs w:val="20"/>
              </w:rPr>
              <w:t>16668</w:t>
            </w:r>
          </w:p>
        </w:tc>
        <w:tc>
          <w:tcPr>
            <w:tcW w:w="833" w:type="dxa"/>
            <w:noWrap/>
            <w:hideMark/>
          </w:tcPr>
          <w:p w14:paraId="201B7C3B" w14:textId="77777777" w:rsidR="000570D4" w:rsidRPr="000570D4" w:rsidRDefault="000570D4" w:rsidP="006C45E4">
            <w:pPr>
              <w:rPr>
                <w:sz w:val="20"/>
                <w:szCs w:val="20"/>
              </w:rPr>
            </w:pPr>
            <w:r w:rsidRPr="000570D4">
              <w:rPr>
                <w:sz w:val="20"/>
                <w:szCs w:val="20"/>
              </w:rPr>
              <w:t>18932</w:t>
            </w:r>
          </w:p>
        </w:tc>
      </w:tr>
    </w:tbl>
    <w:p w14:paraId="2CB2AB5F" w14:textId="77777777" w:rsidR="000570D4" w:rsidRDefault="000570D4" w:rsidP="000570D4"/>
    <w:tbl>
      <w:tblPr>
        <w:tblStyle w:val="Mkatabulky"/>
        <w:tblW w:w="0" w:type="auto"/>
        <w:tblLook w:val="04A0" w:firstRow="1" w:lastRow="0" w:firstColumn="1" w:lastColumn="0" w:noHBand="0" w:noVBand="1"/>
      </w:tblPr>
      <w:tblGrid>
        <w:gridCol w:w="3964"/>
        <w:gridCol w:w="851"/>
        <w:gridCol w:w="850"/>
        <w:gridCol w:w="855"/>
        <w:gridCol w:w="861"/>
        <w:gridCol w:w="744"/>
        <w:gridCol w:w="937"/>
      </w:tblGrid>
      <w:tr w:rsidR="000570D4" w:rsidRPr="000570D4" w14:paraId="74854D04" w14:textId="77777777" w:rsidTr="006C45E4">
        <w:trPr>
          <w:trHeight w:val="340"/>
        </w:trPr>
        <w:tc>
          <w:tcPr>
            <w:tcW w:w="3964" w:type="dxa"/>
            <w:hideMark/>
          </w:tcPr>
          <w:p w14:paraId="5D653520" w14:textId="77777777" w:rsidR="000570D4" w:rsidRPr="000570D4" w:rsidRDefault="000570D4" w:rsidP="006C45E4">
            <w:pPr>
              <w:rPr>
                <w:b/>
                <w:bCs/>
                <w:sz w:val="20"/>
                <w:szCs w:val="20"/>
              </w:rPr>
            </w:pPr>
            <w:r w:rsidRPr="000570D4">
              <w:rPr>
                <w:b/>
                <w:bCs/>
                <w:sz w:val="20"/>
                <w:szCs w:val="20"/>
              </w:rPr>
              <w:t>Poměrové zastoupení diagnóz</w:t>
            </w:r>
          </w:p>
        </w:tc>
        <w:tc>
          <w:tcPr>
            <w:tcW w:w="851" w:type="dxa"/>
            <w:noWrap/>
            <w:hideMark/>
          </w:tcPr>
          <w:p w14:paraId="0EB3EFC2" w14:textId="77777777" w:rsidR="000570D4" w:rsidRPr="000570D4" w:rsidRDefault="000570D4" w:rsidP="006C45E4">
            <w:pPr>
              <w:rPr>
                <w:b/>
                <w:bCs/>
                <w:sz w:val="20"/>
                <w:szCs w:val="20"/>
              </w:rPr>
            </w:pPr>
            <w:r w:rsidRPr="000570D4">
              <w:rPr>
                <w:b/>
                <w:bCs/>
                <w:sz w:val="20"/>
                <w:szCs w:val="20"/>
              </w:rPr>
              <w:t>2021</w:t>
            </w:r>
          </w:p>
        </w:tc>
        <w:tc>
          <w:tcPr>
            <w:tcW w:w="850" w:type="dxa"/>
            <w:noWrap/>
            <w:hideMark/>
          </w:tcPr>
          <w:p w14:paraId="2801A4DE" w14:textId="77777777" w:rsidR="000570D4" w:rsidRPr="000570D4" w:rsidRDefault="000570D4" w:rsidP="006C45E4">
            <w:pPr>
              <w:rPr>
                <w:b/>
                <w:bCs/>
                <w:sz w:val="20"/>
                <w:szCs w:val="20"/>
              </w:rPr>
            </w:pPr>
            <w:r w:rsidRPr="000570D4">
              <w:rPr>
                <w:b/>
                <w:bCs/>
                <w:sz w:val="20"/>
                <w:szCs w:val="20"/>
              </w:rPr>
              <w:t>2022</w:t>
            </w:r>
          </w:p>
        </w:tc>
        <w:tc>
          <w:tcPr>
            <w:tcW w:w="855" w:type="dxa"/>
            <w:noWrap/>
            <w:hideMark/>
          </w:tcPr>
          <w:p w14:paraId="621EA5BF" w14:textId="77777777" w:rsidR="000570D4" w:rsidRPr="000570D4" w:rsidRDefault="000570D4" w:rsidP="006C45E4">
            <w:pPr>
              <w:rPr>
                <w:b/>
                <w:bCs/>
                <w:sz w:val="20"/>
                <w:szCs w:val="20"/>
              </w:rPr>
            </w:pPr>
            <w:r w:rsidRPr="000570D4">
              <w:rPr>
                <w:b/>
                <w:bCs/>
                <w:sz w:val="20"/>
                <w:szCs w:val="20"/>
              </w:rPr>
              <w:t>2023</w:t>
            </w:r>
          </w:p>
        </w:tc>
        <w:tc>
          <w:tcPr>
            <w:tcW w:w="861" w:type="dxa"/>
            <w:noWrap/>
            <w:hideMark/>
          </w:tcPr>
          <w:p w14:paraId="4CC98D11" w14:textId="77777777" w:rsidR="000570D4" w:rsidRPr="000570D4" w:rsidRDefault="000570D4" w:rsidP="006C45E4">
            <w:pPr>
              <w:rPr>
                <w:b/>
                <w:bCs/>
                <w:sz w:val="20"/>
                <w:szCs w:val="20"/>
              </w:rPr>
            </w:pPr>
            <w:r w:rsidRPr="000570D4">
              <w:rPr>
                <w:b/>
                <w:bCs/>
                <w:sz w:val="20"/>
                <w:szCs w:val="20"/>
              </w:rPr>
              <w:t>2024</w:t>
            </w:r>
          </w:p>
        </w:tc>
        <w:tc>
          <w:tcPr>
            <w:tcW w:w="744" w:type="dxa"/>
            <w:noWrap/>
            <w:hideMark/>
          </w:tcPr>
          <w:p w14:paraId="6B35A89A" w14:textId="77777777" w:rsidR="000570D4" w:rsidRPr="000570D4" w:rsidRDefault="000570D4" w:rsidP="006C45E4">
            <w:pPr>
              <w:rPr>
                <w:b/>
                <w:bCs/>
                <w:sz w:val="20"/>
                <w:szCs w:val="20"/>
              </w:rPr>
            </w:pPr>
            <w:r w:rsidRPr="000570D4">
              <w:rPr>
                <w:b/>
                <w:bCs/>
                <w:sz w:val="20"/>
                <w:szCs w:val="20"/>
              </w:rPr>
              <w:t>2025</w:t>
            </w:r>
          </w:p>
        </w:tc>
        <w:tc>
          <w:tcPr>
            <w:tcW w:w="937" w:type="dxa"/>
            <w:noWrap/>
            <w:hideMark/>
          </w:tcPr>
          <w:p w14:paraId="04921D93" w14:textId="77777777" w:rsidR="000570D4" w:rsidRPr="000570D4" w:rsidRDefault="000570D4" w:rsidP="006C45E4">
            <w:pPr>
              <w:rPr>
                <w:b/>
                <w:bCs/>
                <w:sz w:val="20"/>
                <w:szCs w:val="20"/>
              </w:rPr>
            </w:pPr>
            <w:r w:rsidRPr="000570D4">
              <w:rPr>
                <w:b/>
                <w:bCs/>
                <w:sz w:val="20"/>
                <w:szCs w:val="20"/>
              </w:rPr>
              <w:t>Průměr</w:t>
            </w:r>
          </w:p>
        </w:tc>
      </w:tr>
      <w:tr w:rsidR="000570D4" w:rsidRPr="000570D4" w14:paraId="1B9ED044" w14:textId="77777777" w:rsidTr="006C45E4">
        <w:trPr>
          <w:trHeight w:val="680"/>
        </w:trPr>
        <w:tc>
          <w:tcPr>
            <w:tcW w:w="3964" w:type="dxa"/>
            <w:hideMark/>
          </w:tcPr>
          <w:p w14:paraId="38E890A2" w14:textId="77777777" w:rsidR="000570D4" w:rsidRPr="000570D4" w:rsidRDefault="000570D4" w:rsidP="006C45E4">
            <w:pPr>
              <w:rPr>
                <w:sz w:val="20"/>
                <w:szCs w:val="20"/>
              </w:rPr>
            </w:pPr>
            <w:r w:rsidRPr="000570D4">
              <w:rPr>
                <w:sz w:val="20"/>
                <w:szCs w:val="20"/>
              </w:rPr>
              <w:t>OFT - Oftalmologie (Neovaskulární věkem podmíněná makulární degenerace (VPMD))</w:t>
            </w:r>
          </w:p>
        </w:tc>
        <w:tc>
          <w:tcPr>
            <w:tcW w:w="851" w:type="dxa"/>
            <w:noWrap/>
            <w:hideMark/>
          </w:tcPr>
          <w:p w14:paraId="4D016C32" w14:textId="77777777" w:rsidR="000570D4" w:rsidRPr="000570D4" w:rsidRDefault="000570D4" w:rsidP="006C45E4">
            <w:pPr>
              <w:rPr>
                <w:sz w:val="20"/>
                <w:szCs w:val="20"/>
              </w:rPr>
            </w:pPr>
            <w:r w:rsidRPr="000570D4">
              <w:rPr>
                <w:sz w:val="20"/>
                <w:szCs w:val="20"/>
              </w:rPr>
              <w:t>80%</w:t>
            </w:r>
          </w:p>
        </w:tc>
        <w:tc>
          <w:tcPr>
            <w:tcW w:w="850" w:type="dxa"/>
            <w:noWrap/>
            <w:hideMark/>
          </w:tcPr>
          <w:p w14:paraId="4AA08FBB" w14:textId="77777777" w:rsidR="000570D4" w:rsidRPr="000570D4" w:rsidRDefault="000570D4" w:rsidP="006C45E4">
            <w:pPr>
              <w:rPr>
                <w:sz w:val="20"/>
                <w:szCs w:val="20"/>
              </w:rPr>
            </w:pPr>
            <w:r w:rsidRPr="000570D4">
              <w:rPr>
                <w:sz w:val="20"/>
                <w:szCs w:val="20"/>
              </w:rPr>
              <w:t>79%</w:t>
            </w:r>
          </w:p>
        </w:tc>
        <w:tc>
          <w:tcPr>
            <w:tcW w:w="855" w:type="dxa"/>
            <w:noWrap/>
            <w:hideMark/>
          </w:tcPr>
          <w:p w14:paraId="0CB6E369" w14:textId="77777777" w:rsidR="000570D4" w:rsidRPr="000570D4" w:rsidRDefault="000570D4" w:rsidP="006C45E4">
            <w:pPr>
              <w:rPr>
                <w:sz w:val="20"/>
                <w:szCs w:val="20"/>
              </w:rPr>
            </w:pPr>
            <w:r w:rsidRPr="000570D4">
              <w:rPr>
                <w:sz w:val="20"/>
                <w:szCs w:val="20"/>
              </w:rPr>
              <w:t>79%</w:t>
            </w:r>
          </w:p>
        </w:tc>
        <w:tc>
          <w:tcPr>
            <w:tcW w:w="861" w:type="dxa"/>
            <w:noWrap/>
            <w:hideMark/>
          </w:tcPr>
          <w:p w14:paraId="5F3EEAE4" w14:textId="77777777" w:rsidR="000570D4" w:rsidRPr="000570D4" w:rsidRDefault="000570D4" w:rsidP="006C45E4">
            <w:pPr>
              <w:rPr>
                <w:sz w:val="20"/>
                <w:szCs w:val="20"/>
              </w:rPr>
            </w:pPr>
            <w:r w:rsidRPr="000570D4">
              <w:rPr>
                <w:sz w:val="20"/>
                <w:szCs w:val="20"/>
              </w:rPr>
              <w:t>78%</w:t>
            </w:r>
          </w:p>
        </w:tc>
        <w:tc>
          <w:tcPr>
            <w:tcW w:w="744" w:type="dxa"/>
            <w:noWrap/>
            <w:hideMark/>
          </w:tcPr>
          <w:p w14:paraId="0BC60C11" w14:textId="77777777" w:rsidR="000570D4" w:rsidRPr="000570D4" w:rsidRDefault="000570D4" w:rsidP="006C45E4">
            <w:pPr>
              <w:rPr>
                <w:sz w:val="20"/>
                <w:szCs w:val="20"/>
              </w:rPr>
            </w:pPr>
            <w:r w:rsidRPr="000570D4">
              <w:rPr>
                <w:sz w:val="20"/>
                <w:szCs w:val="20"/>
              </w:rPr>
              <w:t>77%</w:t>
            </w:r>
          </w:p>
        </w:tc>
        <w:tc>
          <w:tcPr>
            <w:tcW w:w="937" w:type="dxa"/>
            <w:noWrap/>
            <w:hideMark/>
          </w:tcPr>
          <w:p w14:paraId="47C9967B" w14:textId="77777777" w:rsidR="000570D4" w:rsidRPr="000570D4" w:rsidRDefault="000570D4" w:rsidP="006C45E4">
            <w:pPr>
              <w:rPr>
                <w:sz w:val="20"/>
                <w:szCs w:val="20"/>
              </w:rPr>
            </w:pPr>
            <w:r w:rsidRPr="000570D4">
              <w:rPr>
                <w:sz w:val="20"/>
                <w:szCs w:val="20"/>
              </w:rPr>
              <w:t>78%</w:t>
            </w:r>
          </w:p>
        </w:tc>
      </w:tr>
      <w:tr w:rsidR="000570D4" w:rsidRPr="000570D4" w14:paraId="01634E92" w14:textId="77777777" w:rsidTr="006C45E4">
        <w:trPr>
          <w:trHeight w:val="1020"/>
        </w:trPr>
        <w:tc>
          <w:tcPr>
            <w:tcW w:w="3964" w:type="dxa"/>
            <w:hideMark/>
          </w:tcPr>
          <w:p w14:paraId="36A8838A" w14:textId="77777777" w:rsidR="000570D4" w:rsidRPr="000570D4" w:rsidRDefault="000570D4" w:rsidP="006C45E4">
            <w:pPr>
              <w:rPr>
                <w:sz w:val="20"/>
                <w:szCs w:val="20"/>
              </w:rPr>
            </w:pPr>
            <w:r w:rsidRPr="000570D4">
              <w:rPr>
                <w:sz w:val="20"/>
                <w:szCs w:val="20"/>
              </w:rPr>
              <w:t>ODM - Oftalmologie-diabetes mellitus (Diabetický makulární edém, Diabetická retinopatie)</w:t>
            </w:r>
          </w:p>
        </w:tc>
        <w:tc>
          <w:tcPr>
            <w:tcW w:w="851" w:type="dxa"/>
            <w:noWrap/>
            <w:hideMark/>
          </w:tcPr>
          <w:p w14:paraId="79CB1FDE" w14:textId="77777777" w:rsidR="000570D4" w:rsidRPr="000570D4" w:rsidRDefault="000570D4" w:rsidP="006C45E4">
            <w:pPr>
              <w:rPr>
                <w:sz w:val="20"/>
                <w:szCs w:val="20"/>
              </w:rPr>
            </w:pPr>
            <w:r w:rsidRPr="000570D4">
              <w:rPr>
                <w:sz w:val="20"/>
                <w:szCs w:val="20"/>
              </w:rPr>
              <w:t>9%</w:t>
            </w:r>
          </w:p>
        </w:tc>
        <w:tc>
          <w:tcPr>
            <w:tcW w:w="850" w:type="dxa"/>
            <w:noWrap/>
            <w:hideMark/>
          </w:tcPr>
          <w:p w14:paraId="00928695" w14:textId="77777777" w:rsidR="000570D4" w:rsidRPr="000570D4" w:rsidRDefault="000570D4" w:rsidP="006C45E4">
            <w:pPr>
              <w:rPr>
                <w:sz w:val="20"/>
                <w:szCs w:val="20"/>
              </w:rPr>
            </w:pPr>
            <w:r w:rsidRPr="000570D4">
              <w:rPr>
                <w:sz w:val="20"/>
                <w:szCs w:val="20"/>
              </w:rPr>
              <w:t>12%</w:t>
            </w:r>
          </w:p>
        </w:tc>
        <w:tc>
          <w:tcPr>
            <w:tcW w:w="855" w:type="dxa"/>
            <w:noWrap/>
            <w:hideMark/>
          </w:tcPr>
          <w:p w14:paraId="1041AA12" w14:textId="77777777" w:rsidR="000570D4" w:rsidRPr="000570D4" w:rsidRDefault="000570D4" w:rsidP="006C45E4">
            <w:pPr>
              <w:rPr>
                <w:sz w:val="20"/>
                <w:szCs w:val="20"/>
              </w:rPr>
            </w:pPr>
            <w:r w:rsidRPr="000570D4">
              <w:rPr>
                <w:sz w:val="20"/>
                <w:szCs w:val="20"/>
              </w:rPr>
              <w:t>10%</w:t>
            </w:r>
          </w:p>
        </w:tc>
        <w:tc>
          <w:tcPr>
            <w:tcW w:w="861" w:type="dxa"/>
            <w:noWrap/>
            <w:hideMark/>
          </w:tcPr>
          <w:p w14:paraId="422620E6" w14:textId="77777777" w:rsidR="000570D4" w:rsidRPr="000570D4" w:rsidRDefault="000570D4" w:rsidP="006C45E4">
            <w:pPr>
              <w:rPr>
                <w:sz w:val="20"/>
                <w:szCs w:val="20"/>
              </w:rPr>
            </w:pPr>
            <w:r w:rsidRPr="000570D4">
              <w:rPr>
                <w:sz w:val="20"/>
                <w:szCs w:val="20"/>
              </w:rPr>
              <w:t>11%</w:t>
            </w:r>
          </w:p>
        </w:tc>
        <w:tc>
          <w:tcPr>
            <w:tcW w:w="744" w:type="dxa"/>
            <w:noWrap/>
            <w:hideMark/>
          </w:tcPr>
          <w:p w14:paraId="4BC8EAE9" w14:textId="77777777" w:rsidR="000570D4" w:rsidRPr="000570D4" w:rsidRDefault="000570D4" w:rsidP="006C45E4">
            <w:pPr>
              <w:rPr>
                <w:sz w:val="20"/>
                <w:szCs w:val="20"/>
              </w:rPr>
            </w:pPr>
            <w:r w:rsidRPr="000570D4">
              <w:rPr>
                <w:sz w:val="20"/>
                <w:szCs w:val="20"/>
              </w:rPr>
              <w:t>11%</w:t>
            </w:r>
          </w:p>
        </w:tc>
        <w:tc>
          <w:tcPr>
            <w:tcW w:w="937" w:type="dxa"/>
            <w:noWrap/>
            <w:hideMark/>
          </w:tcPr>
          <w:p w14:paraId="75E8DC96" w14:textId="77777777" w:rsidR="000570D4" w:rsidRPr="000570D4" w:rsidRDefault="000570D4" w:rsidP="006C45E4">
            <w:pPr>
              <w:rPr>
                <w:sz w:val="20"/>
                <w:szCs w:val="20"/>
              </w:rPr>
            </w:pPr>
            <w:r w:rsidRPr="000570D4">
              <w:rPr>
                <w:sz w:val="20"/>
                <w:szCs w:val="20"/>
              </w:rPr>
              <w:t>11%</w:t>
            </w:r>
          </w:p>
        </w:tc>
      </w:tr>
      <w:tr w:rsidR="000570D4" w:rsidRPr="000570D4" w14:paraId="596B4014" w14:textId="77777777" w:rsidTr="006C45E4">
        <w:trPr>
          <w:trHeight w:val="680"/>
        </w:trPr>
        <w:tc>
          <w:tcPr>
            <w:tcW w:w="3964" w:type="dxa"/>
            <w:hideMark/>
          </w:tcPr>
          <w:p w14:paraId="59C9F60D" w14:textId="77777777" w:rsidR="000570D4" w:rsidRPr="000570D4" w:rsidRDefault="000570D4" w:rsidP="006C45E4">
            <w:pPr>
              <w:rPr>
                <w:sz w:val="20"/>
                <w:szCs w:val="20"/>
              </w:rPr>
            </w:pPr>
            <w:r w:rsidRPr="000570D4">
              <w:rPr>
                <w:sz w:val="20"/>
                <w:szCs w:val="20"/>
              </w:rPr>
              <w:t>CVO - Centrální venózní okluze (Retinální venózní okluze)</w:t>
            </w:r>
          </w:p>
        </w:tc>
        <w:tc>
          <w:tcPr>
            <w:tcW w:w="851" w:type="dxa"/>
            <w:noWrap/>
            <w:hideMark/>
          </w:tcPr>
          <w:p w14:paraId="33F147B6" w14:textId="77777777" w:rsidR="000570D4" w:rsidRPr="000570D4" w:rsidRDefault="000570D4" w:rsidP="006C45E4">
            <w:pPr>
              <w:rPr>
                <w:sz w:val="20"/>
                <w:szCs w:val="20"/>
              </w:rPr>
            </w:pPr>
            <w:r w:rsidRPr="000570D4">
              <w:rPr>
                <w:sz w:val="20"/>
                <w:szCs w:val="20"/>
              </w:rPr>
              <w:t>11%</w:t>
            </w:r>
          </w:p>
        </w:tc>
        <w:tc>
          <w:tcPr>
            <w:tcW w:w="850" w:type="dxa"/>
            <w:noWrap/>
            <w:hideMark/>
          </w:tcPr>
          <w:p w14:paraId="4A58E124" w14:textId="77777777" w:rsidR="000570D4" w:rsidRPr="000570D4" w:rsidRDefault="000570D4" w:rsidP="006C45E4">
            <w:pPr>
              <w:rPr>
                <w:sz w:val="20"/>
                <w:szCs w:val="20"/>
              </w:rPr>
            </w:pPr>
            <w:r w:rsidRPr="000570D4">
              <w:rPr>
                <w:sz w:val="20"/>
                <w:szCs w:val="20"/>
              </w:rPr>
              <w:t>9%</w:t>
            </w:r>
          </w:p>
        </w:tc>
        <w:tc>
          <w:tcPr>
            <w:tcW w:w="855" w:type="dxa"/>
            <w:noWrap/>
            <w:hideMark/>
          </w:tcPr>
          <w:p w14:paraId="4EC1FB9E" w14:textId="77777777" w:rsidR="000570D4" w:rsidRPr="000570D4" w:rsidRDefault="000570D4" w:rsidP="006C45E4">
            <w:pPr>
              <w:rPr>
                <w:sz w:val="20"/>
                <w:szCs w:val="20"/>
              </w:rPr>
            </w:pPr>
            <w:r w:rsidRPr="000570D4">
              <w:rPr>
                <w:sz w:val="20"/>
                <w:szCs w:val="20"/>
              </w:rPr>
              <w:t>11%</w:t>
            </w:r>
          </w:p>
        </w:tc>
        <w:tc>
          <w:tcPr>
            <w:tcW w:w="861" w:type="dxa"/>
            <w:noWrap/>
            <w:hideMark/>
          </w:tcPr>
          <w:p w14:paraId="02DEB890" w14:textId="77777777" w:rsidR="000570D4" w:rsidRPr="000570D4" w:rsidRDefault="000570D4" w:rsidP="006C45E4">
            <w:pPr>
              <w:rPr>
                <w:sz w:val="20"/>
                <w:szCs w:val="20"/>
              </w:rPr>
            </w:pPr>
            <w:r w:rsidRPr="000570D4">
              <w:rPr>
                <w:sz w:val="20"/>
                <w:szCs w:val="20"/>
              </w:rPr>
              <w:t>11%</w:t>
            </w:r>
          </w:p>
        </w:tc>
        <w:tc>
          <w:tcPr>
            <w:tcW w:w="744" w:type="dxa"/>
            <w:noWrap/>
            <w:hideMark/>
          </w:tcPr>
          <w:p w14:paraId="355B2FD3" w14:textId="77777777" w:rsidR="000570D4" w:rsidRPr="000570D4" w:rsidRDefault="000570D4" w:rsidP="006C45E4">
            <w:pPr>
              <w:rPr>
                <w:sz w:val="20"/>
                <w:szCs w:val="20"/>
              </w:rPr>
            </w:pPr>
            <w:r w:rsidRPr="000570D4">
              <w:rPr>
                <w:sz w:val="20"/>
                <w:szCs w:val="20"/>
              </w:rPr>
              <w:t>12%</w:t>
            </w:r>
          </w:p>
        </w:tc>
        <w:tc>
          <w:tcPr>
            <w:tcW w:w="937" w:type="dxa"/>
            <w:noWrap/>
            <w:hideMark/>
          </w:tcPr>
          <w:p w14:paraId="06467E63" w14:textId="77777777" w:rsidR="000570D4" w:rsidRPr="000570D4" w:rsidRDefault="000570D4" w:rsidP="006C45E4">
            <w:pPr>
              <w:rPr>
                <w:sz w:val="20"/>
                <w:szCs w:val="20"/>
              </w:rPr>
            </w:pPr>
            <w:r w:rsidRPr="000570D4">
              <w:rPr>
                <w:sz w:val="20"/>
                <w:szCs w:val="20"/>
              </w:rPr>
              <w:t>11%</w:t>
            </w:r>
          </w:p>
        </w:tc>
      </w:tr>
    </w:tbl>
    <w:p w14:paraId="0000002B" w14:textId="77777777" w:rsidR="006369AE" w:rsidRDefault="006369AE"/>
    <w:p w14:paraId="0000002C" w14:textId="1E2C72BE" w:rsidR="006369AE" w:rsidRDefault="00000000">
      <w:pPr>
        <w:pStyle w:val="Nadpis3"/>
        <w:numPr>
          <w:ilvl w:val="2"/>
          <w:numId w:val="1"/>
        </w:numPr>
      </w:pPr>
      <w:r>
        <w:lastRenderedPageBreak/>
        <w:t>Počet pacientů vhodných k</w:t>
      </w:r>
      <w:r w:rsidR="000570D4">
        <w:t> </w:t>
      </w:r>
      <w:r>
        <w:t>léčbě</w:t>
      </w:r>
    </w:p>
    <w:p w14:paraId="2A3AB200" w14:textId="77777777" w:rsidR="000570D4" w:rsidRDefault="000570D4" w:rsidP="000570D4">
      <w:pPr>
        <w:jc w:val="both"/>
      </w:pPr>
      <w:r>
        <w:t xml:space="preserve">Počet pacientů uvažovaných pro analýzu dopadu do rozpočtu byl vypočítán na základě nárůstu z produkčních dat VZP ČR za roky 2021-2025 u výkonu </w:t>
      </w:r>
      <w:r w:rsidRPr="00AE1538">
        <w:t>75231</w:t>
      </w:r>
      <w:r>
        <w:t>.</w:t>
      </w:r>
      <w:r>
        <w:rPr>
          <w:rStyle w:val="Znakapoznpodarou"/>
        </w:rPr>
        <w:footnoteReference w:id="6"/>
      </w:r>
    </w:p>
    <w:p w14:paraId="28CB6EB6" w14:textId="77777777" w:rsidR="000570D4" w:rsidRDefault="000570D4" w:rsidP="000570D4"/>
    <w:p w14:paraId="1F630540" w14:textId="77777777" w:rsidR="000570D4" w:rsidRDefault="000570D4" w:rsidP="000570D4">
      <w:r>
        <w:t>Celkový počet vykázaných pacientů v letech 2021-2025 u VZP</w:t>
      </w:r>
    </w:p>
    <w:p w14:paraId="34CD2684" w14:textId="630ED4D1" w:rsidR="000570D4" w:rsidRDefault="00871F87" w:rsidP="000570D4">
      <w:pPr>
        <w:jc w:val="center"/>
      </w:pPr>
      <w:r>
        <w:rPr>
          <w:noProof/>
        </w:rPr>
        <w:drawing>
          <wp:inline distT="0" distB="0" distL="0" distR="0" wp14:anchorId="4B075321" wp14:editId="392422D7">
            <wp:extent cx="4325815" cy="2611315"/>
            <wp:effectExtent l="0" t="0" r="17780" b="17780"/>
            <wp:docPr id="718455244" name="Graf 1">
              <a:extLst xmlns:a="http://schemas.openxmlformats.org/drawingml/2006/main">
                <a:ext uri="{FF2B5EF4-FFF2-40B4-BE49-F238E27FC236}">
                  <a16:creationId xmlns:a16="http://schemas.microsoft.com/office/drawing/2014/main" id="{5214701C-ED15-8EC0-0DA8-74A5E9D95B9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14:paraId="3D4B6D9F" w14:textId="77777777" w:rsidR="000570D4" w:rsidRDefault="000570D4" w:rsidP="000570D4"/>
    <w:p w14:paraId="1B492E69" w14:textId="4FF19BCE" w:rsidR="00871F87" w:rsidRDefault="000570D4" w:rsidP="00871F87">
      <w:pPr>
        <w:jc w:val="both"/>
      </w:pPr>
      <w:r>
        <w:t>Průměrně dochází ročně k nárůstu 15% pacientů za rok. Data jsou dostupná pouze z VZP, tedy počítali jsme s variantou, že VZP ČR má v současné době cca 60% pojištěnců. Data jsme tedy poměrově navýšili, aby odpovídaly celorepublikovému trendu. To bylo také prověřeno z dat ÚZISu</w:t>
      </w:r>
      <w:r>
        <w:rPr>
          <w:rStyle w:val="Znakapoznpodarou"/>
        </w:rPr>
        <w:footnoteReference w:id="7"/>
      </w:r>
      <w:r>
        <w:t xml:space="preserve">. </w:t>
      </w:r>
      <w:r w:rsidR="002055A0">
        <w:rPr>
          <w:rStyle w:val="Znakapoznpodarou"/>
        </w:rPr>
        <w:footnoteReference w:id="8"/>
      </w:r>
    </w:p>
    <w:p w14:paraId="65346F93" w14:textId="09CE2F3A" w:rsidR="002055A0" w:rsidRDefault="00E56E71" w:rsidP="00871F87">
      <w:pPr>
        <w:jc w:val="both"/>
      </w:pPr>
      <w:r>
        <w:rPr>
          <w:noProof/>
        </w:rPr>
        <w:drawing>
          <wp:inline distT="0" distB="0" distL="0" distR="0" wp14:anchorId="45F68CD3" wp14:editId="1A9428CB">
            <wp:extent cx="5760720" cy="1630045"/>
            <wp:effectExtent l="0" t="0" r="5080" b="0"/>
            <wp:docPr id="811074295"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1074295" name="Obrázek 811074295"/>
                    <pic:cNvPicPr/>
                  </pic:nvPicPr>
                  <pic:blipFill>
                    <a:blip r:embed="rId11">
                      <a:extLst>
                        <a:ext uri="{28A0092B-C50C-407E-A947-70E740481C1C}">
                          <a14:useLocalDpi xmlns:a14="http://schemas.microsoft.com/office/drawing/2010/main" val="0"/>
                        </a:ext>
                      </a:extLst>
                    </a:blip>
                    <a:stretch>
                      <a:fillRect/>
                    </a:stretch>
                  </pic:blipFill>
                  <pic:spPr>
                    <a:xfrm>
                      <a:off x="0" y="0"/>
                      <a:ext cx="5760720" cy="1630045"/>
                    </a:xfrm>
                    <a:prstGeom prst="rect">
                      <a:avLst/>
                    </a:prstGeom>
                  </pic:spPr>
                </pic:pic>
              </a:graphicData>
            </a:graphic>
          </wp:inline>
        </w:drawing>
      </w:r>
    </w:p>
    <w:p w14:paraId="244E1D48" w14:textId="77777777" w:rsidR="002055A0" w:rsidRDefault="002055A0" w:rsidP="00871F87">
      <w:pPr>
        <w:jc w:val="both"/>
      </w:pPr>
    </w:p>
    <w:p w14:paraId="00000040" w14:textId="77777777" w:rsidR="006369AE" w:rsidRDefault="00000000">
      <w:pPr>
        <w:pStyle w:val="Nadpis3"/>
        <w:numPr>
          <w:ilvl w:val="2"/>
          <w:numId w:val="1"/>
        </w:numPr>
      </w:pPr>
      <w:bookmarkStart w:id="3" w:name="_heading=h.hw32gielrqop" w:colFirst="0" w:colLast="0"/>
      <w:bookmarkEnd w:id="3"/>
      <w:r>
        <w:lastRenderedPageBreak/>
        <w:t>Penetrace na trh</w:t>
      </w:r>
    </w:p>
    <w:p w14:paraId="00000042" w14:textId="7AB2569C" w:rsidR="006369AE" w:rsidRPr="00E56E71" w:rsidRDefault="00000000">
      <w:pPr>
        <w:rPr>
          <w:rFonts w:ascii="Aptos" w:eastAsia="Aptos" w:hAnsi="Aptos" w:cs="Aptos"/>
        </w:rPr>
      </w:pPr>
      <w:r>
        <w:t>Dle kvalifikovaného odhadu</w:t>
      </w:r>
      <w:r w:rsidR="00871F87">
        <w:rPr>
          <w:rStyle w:val="Znakapoznpodarou"/>
        </w:rPr>
        <w:footnoteReference w:id="9"/>
      </w:r>
      <w:r w:rsidR="00871F87">
        <w:t xml:space="preserve"> </w:t>
      </w:r>
      <w:r>
        <w:t xml:space="preserve">se uvažuje, že systém PDP by mohl být indikován </w:t>
      </w:r>
      <w:r w:rsidR="002055A0">
        <w:t xml:space="preserve">u níže uvedeného počtu pacientů. </w:t>
      </w:r>
    </w:p>
    <w:p w14:paraId="00000055" w14:textId="562C35F2" w:rsidR="006369AE" w:rsidRDefault="00E56E71">
      <w:r>
        <w:rPr>
          <w:noProof/>
        </w:rPr>
        <w:drawing>
          <wp:inline distT="0" distB="0" distL="0" distR="0" wp14:anchorId="791E7142" wp14:editId="5E55874C">
            <wp:extent cx="5760720" cy="669925"/>
            <wp:effectExtent l="0" t="0" r="5080" b="3175"/>
            <wp:docPr id="1165839441"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5839441" name="Obrázek 1165839441"/>
                    <pic:cNvPicPr/>
                  </pic:nvPicPr>
                  <pic:blipFill>
                    <a:blip r:embed="rId12">
                      <a:extLst>
                        <a:ext uri="{28A0092B-C50C-407E-A947-70E740481C1C}">
                          <a14:useLocalDpi xmlns:a14="http://schemas.microsoft.com/office/drawing/2010/main" val="0"/>
                        </a:ext>
                      </a:extLst>
                    </a:blip>
                    <a:stretch>
                      <a:fillRect/>
                    </a:stretch>
                  </pic:blipFill>
                  <pic:spPr>
                    <a:xfrm>
                      <a:off x="0" y="0"/>
                      <a:ext cx="5760720" cy="669925"/>
                    </a:xfrm>
                    <a:prstGeom prst="rect">
                      <a:avLst/>
                    </a:prstGeom>
                  </pic:spPr>
                </pic:pic>
              </a:graphicData>
            </a:graphic>
          </wp:inline>
        </w:drawing>
      </w:r>
    </w:p>
    <w:p w14:paraId="00000057" w14:textId="4C9335B7" w:rsidR="006369AE" w:rsidRDefault="00000000" w:rsidP="00E56E71">
      <w:pPr>
        <w:pStyle w:val="Nadpis3"/>
        <w:numPr>
          <w:ilvl w:val="2"/>
          <w:numId w:val="1"/>
        </w:numPr>
      </w:pPr>
      <w:bookmarkStart w:id="4" w:name="_heading=h.j7xl5c295yuk" w:colFirst="0" w:colLast="0"/>
      <w:bookmarkEnd w:id="4"/>
      <w:r>
        <w:t>Tržní podíl komparátorů</w:t>
      </w:r>
    </w:p>
    <w:p w14:paraId="0D4BD1C6" w14:textId="77777777" w:rsidR="006369AE" w:rsidRDefault="006369AE"/>
    <w:p w14:paraId="0000006A" w14:textId="27E82AF1" w:rsidR="002055A0" w:rsidRDefault="00E56E71">
      <w:pPr>
        <w:sectPr w:rsidR="002055A0">
          <w:headerReference w:type="default" r:id="rId13"/>
          <w:footerReference w:type="default" r:id="rId14"/>
          <w:pgSz w:w="11906" w:h="16838"/>
          <w:pgMar w:top="1417" w:right="1417" w:bottom="1417" w:left="1417" w:header="708" w:footer="708" w:gutter="0"/>
          <w:pgNumType w:start="1"/>
          <w:cols w:space="708"/>
        </w:sectPr>
      </w:pPr>
      <w:r>
        <w:rPr>
          <w:noProof/>
          <w:lang w:val="cs-CZ"/>
        </w:rPr>
        <w:drawing>
          <wp:inline distT="0" distB="0" distL="0" distR="0" wp14:anchorId="10C4393E" wp14:editId="542B101F">
            <wp:extent cx="5760720" cy="3844290"/>
            <wp:effectExtent l="0" t="0" r="5080" b="3810"/>
            <wp:docPr id="1544980174"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4980174" name="Obrázek 1544980174"/>
                    <pic:cNvPicPr/>
                  </pic:nvPicPr>
                  <pic:blipFill>
                    <a:blip r:embed="rId15">
                      <a:extLst>
                        <a:ext uri="{28A0092B-C50C-407E-A947-70E740481C1C}">
                          <a14:useLocalDpi xmlns:a14="http://schemas.microsoft.com/office/drawing/2010/main" val="0"/>
                        </a:ext>
                      </a:extLst>
                    </a:blip>
                    <a:stretch>
                      <a:fillRect/>
                    </a:stretch>
                  </pic:blipFill>
                  <pic:spPr>
                    <a:xfrm>
                      <a:off x="0" y="0"/>
                      <a:ext cx="5760720" cy="3844290"/>
                    </a:xfrm>
                    <a:prstGeom prst="rect">
                      <a:avLst/>
                    </a:prstGeom>
                  </pic:spPr>
                </pic:pic>
              </a:graphicData>
            </a:graphic>
          </wp:inline>
        </w:drawing>
      </w:r>
    </w:p>
    <w:p w14:paraId="0000006C" w14:textId="77777777" w:rsidR="006369AE" w:rsidRDefault="00000000">
      <w:pPr>
        <w:pStyle w:val="Nadpis2"/>
        <w:numPr>
          <w:ilvl w:val="1"/>
          <w:numId w:val="1"/>
        </w:numPr>
        <w:ind w:hanging="432"/>
      </w:pPr>
      <w:bookmarkStart w:id="5" w:name="_heading=h.27puujjlhelc" w:colFirst="0" w:colLast="0"/>
      <w:bookmarkEnd w:id="5"/>
      <w:r>
        <w:lastRenderedPageBreak/>
        <w:t>NÁKLADY</w:t>
      </w:r>
    </w:p>
    <w:p w14:paraId="17693C8E" w14:textId="77777777" w:rsidR="00E56E71" w:rsidRDefault="00000000">
      <w:pPr>
        <w:pStyle w:val="Nadpis3"/>
        <w:numPr>
          <w:ilvl w:val="2"/>
          <w:numId w:val="1"/>
        </w:numPr>
        <w:ind w:left="1080" w:hanging="360"/>
      </w:pPr>
      <w:bookmarkStart w:id="6" w:name="_heading=h.c1wdqk8yscnl" w:colFirst="0" w:colLast="0"/>
      <w:bookmarkEnd w:id="6"/>
      <w:r>
        <w:t>Náklady na hodnocený systém</w:t>
      </w:r>
      <w:sdt>
        <w:sdtPr>
          <w:tag w:val="goog_rdk_35"/>
          <w:id w:val="-2139440998"/>
        </w:sdtPr>
        <w:sdtContent/>
      </w:sdt>
      <w:sdt>
        <w:sdtPr>
          <w:tag w:val="goog_rdk_36"/>
          <w:id w:val="-884827688"/>
        </w:sdtPr>
        <w:sdtContent/>
      </w:sdt>
      <w:sdt>
        <w:sdtPr>
          <w:tag w:val="goog_rdk_37"/>
          <w:id w:val="1357738149"/>
        </w:sdtPr>
        <w:sdtContent/>
      </w:sdt>
      <w:r>
        <w:t>/interven</w:t>
      </w:r>
      <w:r w:rsidR="00E56E71">
        <w:t>ce</w:t>
      </w:r>
    </w:p>
    <w:p w14:paraId="0000006D" w14:textId="72FE0DED" w:rsidR="006369AE" w:rsidRDefault="00E56E71" w:rsidP="00E56E71">
      <w:pPr>
        <w:pStyle w:val="Nadpis3"/>
        <w:ind w:left="0" w:firstLine="0"/>
      </w:pPr>
      <w:r>
        <w:rPr>
          <w:noProof/>
        </w:rPr>
        <w:drawing>
          <wp:inline distT="0" distB="0" distL="0" distR="0" wp14:anchorId="293C1940" wp14:editId="0A9E553F">
            <wp:extent cx="8754893" cy="3429000"/>
            <wp:effectExtent l="0" t="0" r="0" b="0"/>
            <wp:docPr id="132496620" name="Obráze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496620" name="Obrázek 132496620"/>
                    <pic:cNvPicPr/>
                  </pic:nvPicPr>
                  <pic:blipFill>
                    <a:blip r:embed="rId16">
                      <a:extLst>
                        <a:ext uri="{28A0092B-C50C-407E-A947-70E740481C1C}">
                          <a14:useLocalDpi xmlns:a14="http://schemas.microsoft.com/office/drawing/2010/main" val="0"/>
                        </a:ext>
                      </a:extLst>
                    </a:blip>
                    <a:stretch>
                      <a:fillRect/>
                    </a:stretch>
                  </pic:blipFill>
                  <pic:spPr>
                    <a:xfrm>
                      <a:off x="0" y="0"/>
                      <a:ext cx="8815738" cy="3452831"/>
                    </a:xfrm>
                    <a:prstGeom prst="rect">
                      <a:avLst/>
                    </a:prstGeom>
                  </pic:spPr>
                </pic:pic>
              </a:graphicData>
            </a:graphic>
          </wp:inline>
        </w:drawing>
      </w:r>
    </w:p>
    <w:p w14:paraId="0000006E" w14:textId="07E72CA9" w:rsidR="006369AE" w:rsidRDefault="003F27CF" w:rsidP="003F27CF">
      <w:r>
        <w:t xml:space="preserve">Náklady na jednotlivé ZULP jsou brány z Přehledu léčiv k březnu 2025. Vždy byla uvažována Maximální úhrada ze zdravotního pojištění. </w:t>
      </w:r>
      <w:r>
        <w:rPr>
          <w:rStyle w:val="Znakapoznpodarou"/>
        </w:rPr>
        <w:footnoteReference w:id="10"/>
      </w:r>
    </w:p>
    <w:p w14:paraId="0000006F" w14:textId="77777777" w:rsidR="006369AE" w:rsidRDefault="00000000">
      <w:pPr>
        <w:pStyle w:val="Nadpis3"/>
        <w:numPr>
          <w:ilvl w:val="2"/>
          <w:numId w:val="1"/>
        </w:numPr>
        <w:ind w:left="1080" w:hanging="360"/>
      </w:pPr>
      <w:bookmarkStart w:id="7" w:name="_heading=h.x7clxfl9smzw" w:colFirst="0" w:colLast="0"/>
      <w:bookmarkEnd w:id="7"/>
      <w:r>
        <w:lastRenderedPageBreak/>
        <w:t xml:space="preserve">Náklady na komparativní systém/ZP/intervence </w:t>
      </w:r>
    </w:p>
    <w:p w14:paraId="7506B5FB" w14:textId="202F2ECF" w:rsidR="003F27CF" w:rsidRPr="003F27CF" w:rsidRDefault="003F27CF" w:rsidP="003F27CF">
      <w:r>
        <w:t xml:space="preserve">Počet bodů pro výkon 75231 je vypočten k březnu 2026 ze seznamu výkonů MZ ČR. </w:t>
      </w:r>
      <w:r>
        <w:rPr>
          <w:rStyle w:val="Znakapoznpodarou"/>
        </w:rPr>
        <w:footnoteReference w:id="11"/>
      </w:r>
      <w:r>
        <w:t xml:space="preserve"> Hodnota bodu vychází z Vyhlášky o stanovení hodnot bodu, výše úhrad za hrazené služby a regulačních omezení pro ok 2025.</w:t>
      </w:r>
    </w:p>
    <w:p w14:paraId="00000070" w14:textId="2AABCE70" w:rsidR="006369AE" w:rsidRDefault="006369AE">
      <w:pPr>
        <w:jc w:val="center"/>
      </w:pPr>
    </w:p>
    <w:p w14:paraId="00000071" w14:textId="505B24B8" w:rsidR="006369AE" w:rsidRDefault="003F27CF" w:rsidP="003F27CF">
      <w:pPr>
        <w:jc w:val="center"/>
      </w:pPr>
      <w:r>
        <w:rPr>
          <w:noProof/>
        </w:rPr>
        <w:drawing>
          <wp:inline distT="0" distB="0" distL="0" distR="0" wp14:anchorId="539C7DFC" wp14:editId="7260E536">
            <wp:extent cx="7696200" cy="1079500"/>
            <wp:effectExtent l="0" t="0" r="0" b="0"/>
            <wp:docPr id="2011980361"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1980361" name="Obrázek 2011980361"/>
                    <pic:cNvPicPr/>
                  </pic:nvPicPr>
                  <pic:blipFill>
                    <a:blip r:embed="rId17">
                      <a:extLst>
                        <a:ext uri="{28A0092B-C50C-407E-A947-70E740481C1C}">
                          <a14:useLocalDpi xmlns:a14="http://schemas.microsoft.com/office/drawing/2010/main" val="0"/>
                        </a:ext>
                      </a:extLst>
                    </a:blip>
                    <a:stretch>
                      <a:fillRect/>
                    </a:stretch>
                  </pic:blipFill>
                  <pic:spPr>
                    <a:xfrm>
                      <a:off x="0" y="0"/>
                      <a:ext cx="7696200" cy="1079500"/>
                    </a:xfrm>
                    <a:prstGeom prst="rect">
                      <a:avLst/>
                    </a:prstGeom>
                  </pic:spPr>
                </pic:pic>
              </a:graphicData>
            </a:graphic>
          </wp:inline>
        </w:drawing>
      </w:r>
    </w:p>
    <w:p w14:paraId="05D6CBB3" w14:textId="77777777" w:rsidR="003F27CF" w:rsidRDefault="003F27CF" w:rsidP="003F27CF">
      <w:pPr>
        <w:jc w:val="center"/>
      </w:pPr>
    </w:p>
    <w:bookmarkStart w:id="8" w:name="_heading=h.e17lgibldm7e" w:colFirst="0" w:colLast="0"/>
    <w:bookmarkEnd w:id="8"/>
    <w:p w14:paraId="00000072" w14:textId="77777777" w:rsidR="006369AE" w:rsidRDefault="00000000">
      <w:pPr>
        <w:pStyle w:val="Nadpis2"/>
        <w:numPr>
          <w:ilvl w:val="1"/>
          <w:numId w:val="1"/>
        </w:numPr>
        <w:ind w:hanging="432"/>
      </w:pPr>
      <w:sdt>
        <w:sdtPr>
          <w:tag w:val="goog_rdk_38"/>
          <w:id w:val="786993914"/>
        </w:sdtPr>
        <w:sdtContent/>
      </w:sdt>
      <w:r>
        <w:t>VÝSL</w:t>
      </w:r>
      <w:sdt>
        <w:sdtPr>
          <w:tag w:val="goog_rdk_39"/>
          <w:id w:val="1178116835"/>
        </w:sdtPr>
        <w:sdtContent/>
      </w:sdt>
      <w:r>
        <w:t>EDKY</w:t>
      </w:r>
    </w:p>
    <w:p w14:paraId="00000073" w14:textId="77777777" w:rsidR="006369AE" w:rsidRDefault="00000000">
      <w:pPr>
        <w:pStyle w:val="Nadpis3"/>
        <w:numPr>
          <w:ilvl w:val="2"/>
          <w:numId w:val="1"/>
        </w:numPr>
      </w:pPr>
      <w:sdt>
        <w:sdtPr>
          <w:tag w:val="goog_rdk_40"/>
          <w:id w:val="-502776114"/>
        </w:sdtPr>
        <w:sdtContent/>
      </w:sdt>
      <w:sdt>
        <w:sdtPr>
          <w:tag w:val="goog_rdk_41"/>
          <w:id w:val="-1511691729"/>
        </w:sdtPr>
        <w:sdtContent/>
      </w:sdt>
      <w:r>
        <w:t>Model</w:t>
      </w:r>
    </w:p>
    <w:p w14:paraId="00000074" w14:textId="5A6D59EF" w:rsidR="006369AE" w:rsidRDefault="00E56E71">
      <w:pPr>
        <w:jc w:val="center"/>
      </w:pPr>
      <w:r>
        <w:rPr>
          <w:noProof/>
          <w:lang w:val="cs-CZ"/>
        </w:rPr>
        <w:drawing>
          <wp:inline distT="0" distB="0" distL="0" distR="0" wp14:anchorId="47839E23" wp14:editId="55BD4E30">
            <wp:extent cx="8851900" cy="2438400"/>
            <wp:effectExtent l="0" t="0" r="0" b="0"/>
            <wp:docPr id="1293182355"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3182355" name="Obrázek 1293182355"/>
                    <pic:cNvPicPr/>
                  </pic:nvPicPr>
                  <pic:blipFill>
                    <a:blip r:embed="rId18">
                      <a:extLst>
                        <a:ext uri="{28A0092B-C50C-407E-A947-70E740481C1C}">
                          <a14:useLocalDpi xmlns:a14="http://schemas.microsoft.com/office/drawing/2010/main" val="0"/>
                        </a:ext>
                      </a:extLst>
                    </a:blip>
                    <a:stretch>
                      <a:fillRect/>
                    </a:stretch>
                  </pic:blipFill>
                  <pic:spPr>
                    <a:xfrm>
                      <a:off x="0" y="0"/>
                      <a:ext cx="8851900" cy="2438400"/>
                    </a:xfrm>
                    <a:prstGeom prst="rect">
                      <a:avLst/>
                    </a:prstGeom>
                  </pic:spPr>
                </pic:pic>
              </a:graphicData>
            </a:graphic>
          </wp:inline>
        </w:drawing>
      </w:r>
    </w:p>
    <w:p w14:paraId="748C63DB" w14:textId="057283D2" w:rsidR="00E42895" w:rsidRDefault="00E42895" w:rsidP="00E42895">
      <w:r>
        <w:t xml:space="preserve">U větve Aplikace léků a léčebných prostředků do sklivcového prostoru je jsou uvažovány náklady na výkon a léčivé přípravky násobené 12 – tedy odpovídající roční aplikaci léčiv.  </w:t>
      </w:r>
    </w:p>
    <w:p w14:paraId="720C33C9" w14:textId="3EBE59BB" w:rsidR="00E42895" w:rsidRDefault="001F6D46" w:rsidP="00E42895">
      <w:r>
        <w:t>U větve Kontinuální podání léčiva pomocí PDP jsou p</w:t>
      </w:r>
      <w:r w:rsidR="00E42895">
        <w:t>ro první rok sečteny náklady na Implantaci portu pro kontinuální podání léčiva</w:t>
      </w:r>
      <w:r>
        <w:t xml:space="preserve"> a doplnění portu pro kontinuální podání léčiv. Dále na základě odborného odhadu, je uvažován</w:t>
      </w:r>
      <w:r w:rsidR="004D3274">
        <w:t>a</w:t>
      </w:r>
      <w:r>
        <w:t xml:space="preserve"> na celkový počet 1 explantace portu pro kontinuální podání léčiva při komplikaci související s implantací.</w:t>
      </w:r>
      <w:r>
        <w:rPr>
          <w:rStyle w:val="Znakapoznpodarou"/>
        </w:rPr>
        <w:footnoteReference w:id="12"/>
      </w:r>
    </w:p>
    <w:p w14:paraId="00000075" w14:textId="7F71B5C0" w:rsidR="006369AE" w:rsidRDefault="00E56E71">
      <w:pPr>
        <w:jc w:val="center"/>
      </w:pPr>
      <w:r>
        <w:rPr>
          <w:noProof/>
        </w:rPr>
        <w:lastRenderedPageBreak/>
        <w:drawing>
          <wp:inline distT="0" distB="0" distL="0" distR="0" wp14:anchorId="4856835B" wp14:editId="6F7D5E33">
            <wp:extent cx="8906435" cy="2101362"/>
            <wp:effectExtent l="0" t="0" r="0" b="0"/>
            <wp:docPr id="330739037" name="Obráze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739037" name="Obrázek 330739037"/>
                    <pic:cNvPicPr/>
                  </pic:nvPicPr>
                  <pic:blipFill>
                    <a:blip r:embed="rId19">
                      <a:extLst>
                        <a:ext uri="{28A0092B-C50C-407E-A947-70E740481C1C}">
                          <a14:useLocalDpi xmlns:a14="http://schemas.microsoft.com/office/drawing/2010/main" val="0"/>
                        </a:ext>
                      </a:extLst>
                    </a:blip>
                    <a:stretch>
                      <a:fillRect/>
                    </a:stretch>
                  </pic:blipFill>
                  <pic:spPr>
                    <a:xfrm>
                      <a:off x="0" y="0"/>
                      <a:ext cx="8943689" cy="2110152"/>
                    </a:xfrm>
                    <a:prstGeom prst="rect">
                      <a:avLst/>
                    </a:prstGeom>
                  </pic:spPr>
                </pic:pic>
              </a:graphicData>
            </a:graphic>
          </wp:inline>
        </w:drawing>
      </w:r>
    </w:p>
    <w:p w14:paraId="17C25002" w14:textId="35F97ABE" w:rsidR="001F6D46" w:rsidRDefault="001F6D46" w:rsidP="001F6D46">
      <w:r>
        <w:t xml:space="preserve">Pro další roky jsou uvažovány u četnosti výskytu podání dle kapitol </w:t>
      </w:r>
      <w:r>
        <w:fldChar w:fldCharType="begin"/>
      </w:r>
      <w:r>
        <w:instrText xml:space="preserve"> REF _Ref228866257 \r \h </w:instrText>
      </w:r>
      <w:r>
        <w:fldChar w:fldCharType="separate"/>
      </w:r>
      <w:r>
        <w:t>1.4</w:t>
      </w:r>
      <w:r>
        <w:fldChar w:fldCharType="end"/>
      </w:r>
      <w:r>
        <w:t xml:space="preserve"> a </w:t>
      </w:r>
      <w:r>
        <w:fldChar w:fldCharType="begin"/>
      </w:r>
      <w:r>
        <w:instrText xml:space="preserve"> REF _Ref228866265 \r \h </w:instrText>
      </w:r>
      <w:r>
        <w:fldChar w:fldCharType="separate"/>
      </w:r>
      <w:r>
        <w:t>2.1</w:t>
      </w:r>
      <w:r>
        <w:fldChar w:fldCharType="end"/>
      </w:r>
      <w:r>
        <w:t>.</w:t>
      </w:r>
    </w:p>
    <w:p w14:paraId="00000076" w14:textId="77777777" w:rsidR="006369AE" w:rsidRDefault="00000000">
      <w:pPr>
        <w:pStyle w:val="Nadpis3"/>
        <w:numPr>
          <w:ilvl w:val="2"/>
          <w:numId w:val="1"/>
        </w:numPr>
      </w:pPr>
      <w:bookmarkStart w:id="9" w:name="_heading=h.c8fkekkhaheu" w:colFirst="0" w:colLast="0"/>
      <w:bookmarkEnd w:id="9"/>
      <w:r>
        <w:t>Scénář bez hodnoceného ZP</w:t>
      </w:r>
    </w:p>
    <w:p w14:paraId="00000077" w14:textId="77777777" w:rsidR="006369AE" w:rsidRDefault="00000000">
      <w:r>
        <w:t xml:space="preserve">Ve </w:t>
      </w:r>
      <w:sdt>
        <w:sdtPr>
          <w:tag w:val="goog_rdk_42"/>
          <w:id w:val="1574896839"/>
        </w:sdtPr>
        <w:sdtContent/>
      </w:sdt>
      <w:r>
        <w:t xml:space="preserve">scénáři je uvažováno, že výkon je vykazován u každého pacienta 1x za měsíc v prvním roce s postupným snižování aplikací, nejméně však 8x ročně. Jedná se o kvalifikovaný odhad z praxe. </w:t>
      </w:r>
    </w:p>
    <w:p w14:paraId="00000078" w14:textId="07E1D24E" w:rsidR="006369AE" w:rsidRDefault="00E56E71">
      <w:r>
        <w:rPr>
          <w:noProof/>
        </w:rPr>
        <w:lastRenderedPageBreak/>
        <w:drawing>
          <wp:inline distT="0" distB="0" distL="0" distR="0" wp14:anchorId="7D4DB29B" wp14:editId="3AF2B14E">
            <wp:extent cx="8987856" cy="2778369"/>
            <wp:effectExtent l="0" t="0" r="3810" b="3175"/>
            <wp:docPr id="1004978962"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4978962" name="Obrázek 1004978962"/>
                    <pic:cNvPicPr/>
                  </pic:nvPicPr>
                  <pic:blipFill>
                    <a:blip r:embed="rId20">
                      <a:extLst>
                        <a:ext uri="{28A0092B-C50C-407E-A947-70E740481C1C}">
                          <a14:useLocalDpi xmlns:a14="http://schemas.microsoft.com/office/drawing/2010/main" val="0"/>
                        </a:ext>
                      </a:extLst>
                    </a:blip>
                    <a:stretch>
                      <a:fillRect/>
                    </a:stretch>
                  </pic:blipFill>
                  <pic:spPr>
                    <a:xfrm>
                      <a:off x="0" y="0"/>
                      <a:ext cx="9015304" cy="2786854"/>
                    </a:xfrm>
                    <a:prstGeom prst="rect">
                      <a:avLst/>
                    </a:prstGeom>
                  </pic:spPr>
                </pic:pic>
              </a:graphicData>
            </a:graphic>
          </wp:inline>
        </w:drawing>
      </w:r>
    </w:p>
    <w:p w14:paraId="00000079" w14:textId="77777777" w:rsidR="006369AE" w:rsidRDefault="00000000">
      <w:pPr>
        <w:pStyle w:val="Nadpis3"/>
        <w:numPr>
          <w:ilvl w:val="2"/>
          <w:numId w:val="1"/>
        </w:numPr>
      </w:pPr>
      <w:r>
        <w:t>Scénář s hodnoceným ZP</w:t>
      </w:r>
    </w:p>
    <w:p w14:paraId="0000007A" w14:textId="77777777" w:rsidR="006369AE" w:rsidRDefault="00000000">
      <w:r>
        <w:t>Ve scénáři je uvažováno, že doplnění se provádí 2x ročně. V prvním roce je tedy uvažován výkon Implantace s následným jedním doplněním po půl roce. Dále je uvažováno, že v cca 1 případě ročně může dojít ke komplikacím a je nutná explantace. Což je zohledněno i v modelu výše.</w:t>
      </w:r>
    </w:p>
    <w:p w14:paraId="0000007B" w14:textId="7F0B1BC4" w:rsidR="006369AE" w:rsidRDefault="00E56E71">
      <w:r>
        <w:rPr>
          <w:noProof/>
        </w:rPr>
        <w:lastRenderedPageBreak/>
        <w:drawing>
          <wp:inline distT="0" distB="0" distL="0" distR="0" wp14:anchorId="68352437" wp14:editId="1AE35F67">
            <wp:extent cx="9001772" cy="2593731"/>
            <wp:effectExtent l="0" t="0" r="2540" b="0"/>
            <wp:docPr id="1422358217" name="Obráze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2358217" name="Obrázek 1422358217"/>
                    <pic:cNvPicPr/>
                  </pic:nvPicPr>
                  <pic:blipFill>
                    <a:blip r:embed="rId21">
                      <a:extLst>
                        <a:ext uri="{28A0092B-C50C-407E-A947-70E740481C1C}">
                          <a14:useLocalDpi xmlns:a14="http://schemas.microsoft.com/office/drawing/2010/main" val="0"/>
                        </a:ext>
                      </a:extLst>
                    </a:blip>
                    <a:stretch>
                      <a:fillRect/>
                    </a:stretch>
                  </pic:blipFill>
                  <pic:spPr>
                    <a:xfrm>
                      <a:off x="0" y="0"/>
                      <a:ext cx="9049774" cy="2607562"/>
                    </a:xfrm>
                    <a:prstGeom prst="rect">
                      <a:avLst/>
                    </a:prstGeom>
                  </pic:spPr>
                </pic:pic>
              </a:graphicData>
            </a:graphic>
          </wp:inline>
        </w:drawing>
      </w:r>
    </w:p>
    <w:p w14:paraId="0000007C" w14:textId="0B88D5AE" w:rsidR="006369AE" w:rsidRDefault="006369AE"/>
    <w:p w14:paraId="46DA1828" w14:textId="77777777" w:rsidR="004656E5" w:rsidRDefault="00000000">
      <w:pPr>
        <w:pStyle w:val="Nadpis3"/>
        <w:numPr>
          <w:ilvl w:val="2"/>
          <w:numId w:val="1"/>
        </w:numPr>
      </w:pPr>
      <w:bookmarkStart w:id="10" w:name="_heading=h.82od8hlh5qm9" w:colFirst="0" w:colLast="0"/>
      <w:bookmarkEnd w:id="10"/>
      <w:r>
        <w:t>Čistý dopad na rozpočet</w:t>
      </w:r>
    </w:p>
    <w:p w14:paraId="0000007D" w14:textId="1CE63709" w:rsidR="006369AE" w:rsidRDefault="004656E5" w:rsidP="004656E5">
      <w:pPr>
        <w:pStyle w:val="Nadpis3"/>
        <w:ind w:left="0" w:firstLine="0"/>
      </w:pPr>
      <w:r>
        <w:rPr>
          <w:noProof/>
        </w:rPr>
        <w:drawing>
          <wp:inline distT="0" distB="0" distL="0" distR="0" wp14:anchorId="5DC2D994" wp14:editId="11475B52">
            <wp:extent cx="8936662" cy="720969"/>
            <wp:effectExtent l="0" t="0" r="0" b="3175"/>
            <wp:docPr id="917271137" name="Obráze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7271137" name="Obrázek 917271137"/>
                    <pic:cNvPicPr/>
                  </pic:nvPicPr>
                  <pic:blipFill>
                    <a:blip r:embed="rId22">
                      <a:extLst>
                        <a:ext uri="{28A0092B-C50C-407E-A947-70E740481C1C}">
                          <a14:useLocalDpi xmlns:a14="http://schemas.microsoft.com/office/drawing/2010/main" val="0"/>
                        </a:ext>
                      </a:extLst>
                    </a:blip>
                    <a:stretch>
                      <a:fillRect/>
                    </a:stretch>
                  </pic:blipFill>
                  <pic:spPr>
                    <a:xfrm>
                      <a:off x="0" y="0"/>
                      <a:ext cx="9143710" cy="737673"/>
                    </a:xfrm>
                    <a:prstGeom prst="rect">
                      <a:avLst/>
                    </a:prstGeom>
                  </pic:spPr>
                </pic:pic>
              </a:graphicData>
            </a:graphic>
          </wp:inline>
        </w:drawing>
      </w:r>
    </w:p>
    <w:p w14:paraId="0000007E" w14:textId="57008563" w:rsidR="006369AE" w:rsidRDefault="006369AE"/>
    <w:p w14:paraId="0000007F" w14:textId="77777777" w:rsidR="006369AE" w:rsidRDefault="00000000">
      <w:pPr>
        <w:pStyle w:val="Nadpis2"/>
        <w:numPr>
          <w:ilvl w:val="1"/>
          <w:numId w:val="1"/>
        </w:numPr>
        <w:ind w:hanging="432"/>
      </w:pPr>
      <w:bookmarkStart w:id="11" w:name="_heading=h.bzbkhbrlrmcf" w:colFirst="0" w:colLast="0"/>
      <w:bookmarkEnd w:id="11"/>
      <w:r>
        <w:t xml:space="preserve">ANALÝZA SENZITIVITY </w:t>
      </w:r>
    </w:p>
    <w:p w14:paraId="00000080" w14:textId="77777777" w:rsidR="006369AE" w:rsidRDefault="00000000">
      <w:r>
        <w:t>Popište vstupní parametry analýzy a jejich rozpětí ovlivňující možný dopad na rozpočet.</w:t>
      </w:r>
    </w:p>
    <w:p w14:paraId="00000081" w14:textId="77777777" w:rsidR="006369AE" w:rsidRDefault="006369AE"/>
    <w:tbl>
      <w:tblPr>
        <w:tblStyle w:val="a2"/>
        <w:tblW w:w="9062"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29"/>
        <w:gridCol w:w="3401"/>
        <w:gridCol w:w="2266"/>
        <w:gridCol w:w="2266"/>
      </w:tblGrid>
      <w:tr w:rsidR="006369AE" w14:paraId="63BB80A6" w14:textId="77777777">
        <w:tc>
          <w:tcPr>
            <w:tcW w:w="1129" w:type="dxa"/>
            <w:vAlign w:val="center"/>
          </w:tcPr>
          <w:p w14:paraId="00000082" w14:textId="77777777" w:rsidR="006369AE" w:rsidRDefault="00000000">
            <w:pPr>
              <w:pBdr>
                <w:top w:val="nil"/>
                <w:left w:val="nil"/>
                <w:bottom w:val="nil"/>
                <w:right w:val="nil"/>
                <w:between w:val="nil"/>
              </w:pBdr>
              <w:jc w:val="both"/>
              <w:rPr>
                <w:color w:val="000000"/>
              </w:rPr>
            </w:pPr>
            <w:r>
              <w:rPr>
                <w:color w:val="000000"/>
              </w:rPr>
              <w:t>Číslo scénáře</w:t>
            </w:r>
          </w:p>
        </w:tc>
        <w:tc>
          <w:tcPr>
            <w:tcW w:w="3401" w:type="dxa"/>
            <w:vAlign w:val="center"/>
          </w:tcPr>
          <w:p w14:paraId="00000083" w14:textId="77777777" w:rsidR="006369AE" w:rsidRDefault="00000000">
            <w:pPr>
              <w:pBdr>
                <w:top w:val="nil"/>
                <w:left w:val="nil"/>
                <w:bottom w:val="nil"/>
                <w:right w:val="nil"/>
                <w:between w:val="nil"/>
              </w:pBdr>
              <w:jc w:val="both"/>
              <w:rPr>
                <w:color w:val="000000"/>
              </w:rPr>
            </w:pPr>
            <w:r>
              <w:rPr>
                <w:color w:val="000000"/>
              </w:rPr>
              <w:t>Testovaný parametr</w:t>
            </w:r>
          </w:p>
        </w:tc>
        <w:tc>
          <w:tcPr>
            <w:tcW w:w="2266" w:type="dxa"/>
            <w:vAlign w:val="center"/>
          </w:tcPr>
          <w:p w14:paraId="00000084" w14:textId="77777777" w:rsidR="006369AE" w:rsidRDefault="00000000">
            <w:pPr>
              <w:pBdr>
                <w:top w:val="nil"/>
                <w:left w:val="nil"/>
                <w:bottom w:val="nil"/>
                <w:right w:val="nil"/>
                <w:between w:val="nil"/>
              </w:pBdr>
              <w:jc w:val="both"/>
              <w:rPr>
                <w:color w:val="000000"/>
              </w:rPr>
            </w:pPr>
            <w:r>
              <w:rPr>
                <w:color w:val="000000"/>
              </w:rPr>
              <w:t>Dolní testovaná mez (DM)</w:t>
            </w:r>
          </w:p>
        </w:tc>
        <w:tc>
          <w:tcPr>
            <w:tcW w:w="2266" w:type="dxa"/>
            <w:vAlign w:val="center"/>
          </w:tcPr>
          <w:p w14:paraId="00000085" w14:textId="77777777" w:rsidR="006369AE" w:rsidRDefault="00000000">
            <w:pPr>
              <w:pBdr>
                <w:top w:val="nil"/>
                <w:left w:val="nil"/>
                <w:bottom w:val="nil"/>
                <w:right w:val="nil"/>
                <w:between w:val="nil"/>
              </w:pBdr>
              <w:jc w:val="both"/>
              <w:rPr>
                <w:color w:val="000000"/>
              </w:rPr>
            </w:pPr>
            <w:r>
              <w:rPr>
                <w:color w:val="000000"/>
              </w:rPr>
              <w:t>Horní testovaná mez (HM)</w:t>
            </w:r>
          </w:p>
        </w:tc>
      </w:tr>
      <w:tr w:rsidR="006369AE" w14:paraId="2B433D71" w14:textId="77777777">
        <w:tc>
          <w:tcPr>
            <w:tcW w:w="1129" w:type="dxa"/>
            <w:vAlign w:val="center"/>
          </w:tcPr>
          <w:p w14:paraId="00000086" w14:textId="77777777" w:rsidR="006369AE" w:rsidRDefault="00000000">
            <w:pPr>
              <w:pBdr>
                <w:top w:val="nil"/>
                <w:left w:val="nil"/>
                <w:bottom w:val="nil"/>
                <w:right w:val="nil"/>
                <w:between w:val="nil"/>
              </w:pBdr>
              <w:jc w:val="both"/>
              <w:rPr>
                <w:color w:val="000000"/>
              </w:rPr>
            </w:pPr>
            <w:r>
              <w:rPr>
                <w:color w:val="000000"/>
              </w:rPr>
              <w:lastRenderedPageBreak/>
              <w:t>1</w:t>
            </w:r>
          </w:p>
        </w:tc>
        <w:tc>
          <w:tcPr>
            <w:tcW w:w="3401" w:type="dxa"/>
            <w:vAlign w:val="center"/>
          </w:tcPr>
          <w:p w14:paraId="00000087" w14:textId="77777777" w:rsidR="006369AE" w:rsidRDefault="00000000">
            <w:pPr>
              <w:pBdr>
                <w:top w:val="nil"/>
                <w:left w:val="nil"/>
                <w:bottom w:val="nil"/>
                <w:right w:val="nil"/>
                <w:between w:val="nil"/>
              </w:pBdr>
              <w:jc w:val="both"/>
              <w:rPr>
                <w:color w:val="000000"/>
              </w:rPr>
            </w:pPr>
            <w:r>
              <w:rPr>
                <w:color w:val="000000"/>
              </w:rPr>
              <w:t>Penetrace na trh</w:t>
            </w:r>
          </w:p>
        </w:tc>
        <w:tc>
          <w:tcPr>
            <w:tcW w:w="2266" w:type="dxa"/>
            <w:vAlign w:val="center"/>
          </w:tcPr>
          <w:p w14:paraId="00000088" w14:textId="074331D9" w:rsidR="006369AE" w:rsidRDefault="00000000">
            <w:pPr>
              <w:pBdr>
                <w:top w:val="nil"/>
                <w:left w:val="nil"/>
                <w:bottom w:val="nil"/>
                <w:right w:val="nil"/>
                <w:between w:val="nil"/>
              </w:pBdr>
              <w:jc w:val="both"/>
              <w:rPr>
                <w:color w:val="000000"/>
              </w:rPr>
            </w:pPr>
            <w:r>
              <w:rPr>
                <w:color w:val="000000"/>
              </w:rPr>
              <w:t>-</w:t>
            </w:r>
            <w:r w:rsidR="001F6D46">
              <w:rPr>
                <w:color w:val="000000"/>
              </w:rPr>
              <w:t>1</w:t>
            </w:r>
            <w:r>
              <w:rPr>
                <w:color w:val="000000"/>
              </w:rPr>
              <w:t>0%</w:t>
            </w:r>
          </w:p>
        </w:tc>
        <w:tc>
          <w:tcPr>
            <w:tcW w:w="2266" w:type="dxa"/>
            <w:vAlign w:val="center"/>
          </w:tcPr>
          <w:p w14:paraId="00000089" w14:textId="0EE6F7D3" w:rsidR="006369AE" w:rsidRDefault="00000000">
            <w:pPr>
              <w:pBdr>
                <w:top w:val="nil"/>
                <w:left w:val="nil"/>
                <w:bottom w:val="nil"/>
                <w:right w:val="nil"/>
                <w:between w:val="nil"/>
              </w:pBdr>
              <w:jc w:val="both"/>
              <w:rPr>
                <w:color w:val="000000"/>
              </w:rPr>
            </w:pPr>
            <w:r>
              <w:rPr>
                <w:color w:val="000000"/>
              </w:rPr>
              <w:t>+</w:t>
            </w:r>
            <w:r w:rsidR="001F6D46">
              <w:rPr>
                <w:color w:val="000000"/>
              </w:rPr>
              <w:t>1</w:t>
            </w:r>
            <w:r>
              <w:rPr>
                <w:color w:val="000000"/>
              </w:rPr>
              <w:t>0%</w:t>
            </w:r>
          </w:p>
        </w:tc>
      </w:tr>
      <w:tr w:rsidR="006369AE" w14:paraId="4D98E96C" w14:textId="77777777">
        <w:tc>
          <w:tcPr>
            <w:tcW w:w="1129" w:type="dxa"/>
            <w:vAlign w:val="center"/>
          </w:tcPr>
          <w:p w14:paraId="0000008A" w14:textId="77777777" w:rsidR="006369AE" w:rsidRDefault="00000000">
            <w:pPr>
              <w:pBdr>
                <w:top w:val="nil"/>
                <w:left w:val="nil"/>
                <w:bottom w:val="nil"/>
                <w:right w:val="nil"/>
                <w:between w:val="nil"/>
              </w:pBdr>
              <w:jc w:val="both"/>
              <w:rPr>
                <w:color w:val="000000"/>
              </w:rPr>
            </w:pPr>
            <w:r>
              <w:rPr>
                <w:color w:val="000000"/>
              </w:rPr>
              <w:t>2</w:t>
            </w:r>
          </w:p>
        </w:tc>
        <w:tc>
          <w:tcPr>
            <w:tcW w:w="3401" w:type="dxa"/>
            <w:vAlign w:val="center"/>
          </w:tcPr>
          <w:p w14:paraId="0000008B" w14:textId="77777777" w:rsidR="006369AE" w:rsidRDefault="00000000">
            <w:pPr>
              <w:pBdr>
                <w:top w:val="nil"/>
                <w:left w:val="nil"/>
                <w:bottom w:val="nil"/>
                <w:right w:val="nil"/>
                <w:between w:val="nil"/>
              </w:pBdr>
              <w:jc w:val="both"/>
              <w:rPr>
                <w:color w:val="000000"/>
              </w:rPr>
            </w:pPr>
            <w:r>
              <w:rPr>
                <w:color w:val="000000"/>
              </w:rPr>
              <w:t>Cena / úhrada ZP</w:t>
            </w:r>
          </w:p>
        </w:tc>
        <w:tc>
          <w:tcPr>
            <w:tcW w:w="2266" w:type="dxa"/>
            <w:vAlign w:val="center"/>
          </w:tcPr>
          <w:p w14:paraId="0000008C" w14:textId="77777777" w:rsidR="006369AE" w:rsidRDefault="00000000">
            <w:pPr>
              <w:pBdr>
                <w:top w:val="nil"/>
                <w:left w:val="nil"/>
                <w:bottom w:val="nil"/>
                <w:right w:val="nil"/>
                <w:between w:val="nil"/>
              </w:pBdr>
              <w:jc w:val="both"/>
              <w:rPr>
                <w:color w:val="000000"/>
              </w:rPr>
            </w:pPr>
            <w:r>
              <w:rPr>
                <w:color w:val="000000"/>
              </w:rPr>
              <w:t>-10%</w:t>
            </w:r>
          </w:p>
        </w:tc>
        <w:tc>
          <w:tcPr>
            <w:tcW w:w="2266" w:type="dxa"/>
            <w:vAlign w:val="center"/>
          </w:tcPr>
          <w:p w14:paraId="0000008D" w14:textId="77777777" w:rsidR="006369AE" w:rsidRDefault="00000000">
            <w:pPr>
              <w:pBdr>
                <w:top w:val="nil"/>
                <w:left w:val="nil"/>
                <w:bottom w:val="nil"/>
                <w:right w:val="nil"/>
                <w:between w:val="nil"/>
              </w:pBdr>
              <w:jc w:val="both"/>
              <w:rPr>
                <w:color w:val="000000"/>
              </w:rPr>
            </w:pPr>
            <w:r>
              <w:rPr>
                <w:color w:val="000000"/>
              </w:rPr>
              <w:t>+10%</w:t>
            </w:r>
          </w:p>
        </w:tc>
      </w:tr>
    </w:tbl>
    <w:p w14:paraId="0000008E" w14:textId="77777777" w:rsidR="006369AE" w:rsidRDefault="006369AE"/>
    <w:p w14:paraId="0000008F" w14:textId="77777777" w:rsidR="006369AE" w:rsidRDefault="00000000">
      <w:pPr>
        <w:pStyle w:val="Nadpis3"/>
        <w:numPr>
          <w:ilvl w:val="2"/>
          <w:numId w:val="1"/>
        </w:numPr>
      </w:pPr>
      <w:bookmarkStart w:id="12" w:name="_heading=h.p7qrecguo8ms" w:colFirst="0" w:colLast="0"/>
      <w:bookmarkEnd w:id="12"/>
      <w:r>
        <w:t xml:space="preserve">Výsledky analýzy senzitivity </w:t>
      </w:r>
    </w:p>
    <w:p w14:paraId="00000090" w14:textId="77777777" w:rsidR="006369AE" w:rsidRDefault="006369AE"/>
    <w:tbl>
      <w:tblPr>
        <w:tblW w:w="13800" w:type="dxa"/>
        <w:tblCellMar>
          <w:left w:w="70" w:type="dxa"/>
          <w:right w:w="70" w:type="dxa"/>
        </w:tblCellMar>
        <w:tblLook w:val="04A0" w:firstRow="1" w:lastRow="0" w:firstColumn="1" w:lastColumn="0" w:noHBand="0" w:noVBand="1"/>
      </w:tblPr>
      <w:tblGrid>
        <w:gridCol w:w="1300"/>
        <w:gridCol w:w="2420"/>
        <w:gridCol w:w="2520"/>
        <w:gridCol w:w="2520"/>
        <w:gridCol w:w="2520"/>
        <w:gridCol w:w="2520"/>
      </w:tblGrid>
      <w:tr w:rsidR="001F6D46" w:rsidRPr="001F6D46" w14:paraId="46C64C7F" w14:textId="77777777" w:rsidTr="001F6D46">
        <w:trPr>
          <w:trHeight w:val="340"/>
        </w:trPr>
        <w:tc>
          <w:tcPr>
            <w:tcW w:w="1300" w:type="dxa"/>
            <w:vMerge w:val="restart"/>
            <w:tcBorders>
              <w:top w:val="single" w:sz="8" w:space="0" w:color="auto"/>
              <w:left w:val="single" w:sz="8" w:space="0" w:color="auto"/>
              <w:bottom w:val="single" w:sz="8" w:space="0" w:color="000000"/>
              <w:right w:val="single" w:sz="8" w:space="0" w:color="auto"/>
            </w:tcBorders>
            <w:vAlign w:val="center"/>
            <w:hideMark/>
          </w:tcPr>
          <w:p w14:paraId="1CF7BE99" w14:textId="77777777" w:rsidR="001F6D46" w:rsidRPr="001F6D46" w:rsidRDefault="001F6D46" w:rsidP="001F6D46">
            <w:pPr>
              <w:jc w:val="both"/>
              <w:rPr>
                <w:rFonts w:ascii="Avenir Next" w:eastAsia="Times New Roman" w:hAnsi="Avenir Next" w:cs="Times New Roman"/>
                <w:color w:val="000000"/>
                <w:lang w:val="cs-CZ"/>
              </w:rPr>
            </w:pPr>
            <w:r w:rsidRPr="001F6D46">
              <w:rPr>
                <w:rFonts w:ascii="Avenir Next" w:eastAsia="Times New Roman" w:hAnsi="Avenir Next" w:cs="Times New Roman"/>
                <w:color w:val="000000"/>
                <w:lang w:val="cs-CZ"/>
              </w:rPr>
              <w:t>Scénář</w:t>
            </w:r>
          </w:p>
        </w:tc>
        <w:tc>
          <w:tcPr>
            <w:tcW w:w="2420" w:type="dxa"/>
            <w:tcBorders>
              <w:top w:val="single" w:sz="8" w:space="0" w:color="auto"/>
              <w:left w:val="nil"/>
              <w:bottom w:val="nil"/>
              <w:right w:val="single" w:sz="8" w:space="0" w:color="auto"/>
            </w:tcBorders>
            <w:vAlign w:val="center"/>
            <w:hideMark/>
          </w:tcPr>
          <w:p w14:paraId="6757C434" w14:textId="77777777" w:rsidR="001F6D46" w:rsidRPr="001F6D46" w:rsidRDefault="001F6D46" w:rsidP="001F6D46">
            <w:pPr>
              <w:jc w:val="both"/>
              <w:rPr>
                <w:rFonts w:ascii="Avenir Next" w:eastAsia="Times New Roman" w:hAnsi="Avenir Next" w:cs="Times New Roman"/>
                <w:color w:val="000000"/>
                <w:lang w:val="cs-CZ"/>
              </w:rPr>
            </w:pPr>
            <w:r w:rsidRPr="001F6D46">
              <w:rPr>
                <w:rFonts w:ascii="Avenir Next" w:eastAsia="Times New Roman" w:hAnsi="Avenir Next" w:cs="Times New Roman"/>
                <w:color w:val="000000"/>
                <w:lang w:val="cs-CZ"/>
              </w:rPr>
              <w:t>Čistý dopad</w:t>
            </w:r>
          </w:p>
        </w:tc>
        <w:tc>
          <w:tcPr>
            <w:tcW w:w="2520" w:type="dxa"/>
            <w:tcBorders>
              <w:top w:val="single" w:sz="8" w:space="0" w:color="auto"/>
              <w:left w:val="nil"/>
              <w:bottom w:val="nil"/>
              <w:right w:val="single" w:sz="8" w:space="0" w:color="auto"/>
            </w:tcBorders>
            <w:vAlign w:val="center"/>
            <w:hideMark/>
          </w:tcPr>
          <w:p w14:paraId="2D0EE9D1" w14:textId="77777777" w:rsidR="001F6D46" w:rsidRPr="001F6D46" w:rsidRDefault="001F6D46" w:rsidP="001F6D46">
            <w:pPr>
              <w:jc w:val="both"/>
              <w:rPr>
                <w:rFonts w:ascii="Avenir Next" w:eastAsia="Times New Roman" w:hAnsi="Avenir Next" w:cs="Times New Roman"/>
                <w:color w:val="000000"/>
                <w:lang w:val="cs-CZ"/>
              </w:rPr>
            </w:pPr>
            <w:r w:rsidRPr="001F6D46">
              <w:rPr>
                <w:rFonts w:ascii="Avenir Next" w:eastAsia="Times New Roman" w:hAnsi="Avenir Next" w:cs="Times New Roman"/>
                <w:color w:val="000000"/>
                <w:lang w:val="cs-CZ"/>
              </w:rPr>
              <w:t>Čistý dopad</w:t>
            </w:r>
          </w:p>
        </w:tc>
        <w:tc>
          <w:tcPr>
            <w:tcW w:w="2520" w:type="dxa"/>
            <w:tcBorders>
              <w:top w:val="single" w:sz="8" w:space="0" w:color="auto"/>
              <w:left w:val="nil"/>
              <w:bottom w:val="nil"/>
              <w:right w:val="single" w:sz="8" w:space="0" w:color="auto"/>
            </w:tcBorders>
            <w:vAlign w:val="center"/>
            <w:hideMark/>
          </w:tcPr>
          <w:p w14:paraId="302CB21F" w14:textId="77777777" w:rsidR="001F6D46" w:rsidRPr="001F6D46" w:rsidRDefault="001F6D46" w:rsidP="001F6D46">
            <w:pPr>
              <w:jc w:val="both"/>
              <w:rPr>
                <w:rFonts w:ascii="Avenir Next" w:eastAsia="Times New Roman" w:hAnsi="Avenir Next" w:cs="Times New Roman"/>
                <w:color w:val="000000"/>
                <w:lang w:val="cs-CZ"/>
              </w:rPr>
            </w:pPr>
            <w:r w:rsidRPr="001F6D46">
              <w:rPr>
                <w:rFonts w:ascii="Avenir Next" w:eastAsia="Times New Roman" w:hAnsi="Avenir Next" w:cs="Times New Roman"/>
                <w:color w:val="000000"/>
                <w:lang w:val="cs-CZ"/>
              </w:rPr>
              <w:t>Čistý dopad</w:t>
            </w:r>
          </w:p>
        </w:tc>
        <w:tc>
          <w:tcPr>
            <w:tcW w:w="2520" w:type="dxa"/>
            <w:tcBorders>
              <w:top w:val="single" w:sz="8" w:space="0" w:color="auto"/>
              <w:left w:val="nil"/>
              <w:bottom w:val="nil"/>
              <w:right w:val="single" w:sz="8" w:space="0" w:color="auto"/>
            </w:tcBorders>
            <w:vAlign w:val="center"/>
            <w:hideMark/>
          </w:tcPr>
          <w:p w14:paraId="3DBA15C5" w14:textId="77777777" w:rsidR="001F6D46" w:rsidRPr="001F6D46" w:rsidRDefault="001F6D46" w:rsidP="001F6D46">
            <w:pPr>
              <w:jc w:val="both"/>
              <w:rPr>
                <w:rFonts w:ascii="Avenir Next" w:eastAsia="Times New Roman" w:hAnsi="Avenir Next" w:cs="Times New Roman"/>
                <w:color w:val="000000"/>
                <w:lang w:val="cs-CZ"/>
              </w:rPr>
            </w:pPr>
            <w:r w:rsidRPr="001F6D46">
              <w:rPr>
                <w:rFonts w:ascii="Avenir Next" w:eastAsia="Times New Roman" w:hAnsi="Avenir Next" w:cs="Times New Roman"/>
                <w:color w:val="000000"/>
                <w:lang w:val="cs-CZ"/>
              </w:rPr>
              <w:t>Čistý dopad</w:t>
            </w:r>
          </w:p>
        </w:tc>
        <w:tc>
          <w:tcPr>
            <w:tcW w:w="2520" w:type="dxa"/>
            <w:tcBorders>
              <w:top w:val="single" w:sz="8" w:space="0" w:color="auto"/>
              <w:left w:val="nil"/>
              <w:bottom w:val="nil"/>
              <w:right w:val="single" w:sz="8" w:space="0" w:color="auto"/>
            </w:tcBorders>
            <w:vAlign w:val="center"/>
            <w:hideMark/>
          </w:tcPr>
          <w:p w14:paraId="26E1FD7C" w14:textId="77777777" w:rsidR="001F6D46" w:rsidRPr="001F6D46" w:rsidRDefault="001F6D46" w:rsidP="001F6D46">
            <w:pPr>
              <w:jc w:val="both"/>
              <w:rPr>
                <w:rFonts w:ascii="Avenir Next" w:eastAsia="Times New Roman" w:hAnsi="Avenir Next" w:cs="Times New Roman"/>
                <w:color w:val="000000"/>
                <w:lang w:val="cs-CZ"/>
              </w:rPr>
            </w:pPr>
            <w:r w:rsidRPr="001F6D46">
              <w:rPr>
                <w:rFonts w:ascii="Avenir Next" w:eastAsia="Times New Roman" w:hAnsi="Avenir Next" w:cs="Times New Roman"/>
                <w:color w:val="000000"/>
                <w:lang w:val="cs-CZ"/>
              </w:rPr>
              <w:t>Čistý dopad</w:t>
            </w:r>
          </w:p>
        </w:tc>
      </w:tr>
      <w:tr w:rsidR="001F6D46" w:rsidRPr="001F6D46" w14:paraId="1885C3CB" w14:textId="77777777" w:rsidTr="001F6D46">
        <w:trPr>
          <w:trHeight w:val="360"/>
        </w:trPr>
        <w:tc>
          <w:tcPr>
            <w:tcW w:w="1300" w:type="dxa"/>
            <w:vMerge/>
            <w:tcBorders>
              <w:top w:val="single" w:sz="8" w:space="0" w:color="auto"/>
              <w:left w:val="single" w:sz="8" w:space="0" w:color="auto"/>
              <w:bottom w:val="single" w:sz="8" w:space="0" w:color="000000"/>
              <w:right w:val="single" w:sz="8" w:space="0" w:color="auto"/>
            </w:tcBorders>
            <w:vAlign w:val="center"/>
            <w:hideMark/>
          </w:tcPr>
          <w:p w14:paraId="407184CB" w14:textId="77777777" w:rsidR="001F6D46" w:rsidRPr="001F6D46" w:rsidRDefault="001F6D46" w:rsidP="001F6D46">
            <w:pPr>
              <w:rPr>
                <w:rFonts w:ascii="Avenir Next" w:eastAsia="Times New Roman" w:hAnsi="Avenir Next" w:cs="Times New Roman"/>
                <w:color w:val="000000"/>
                <w:lang w:val="cs-CZ"/>
              </w:rPr>
            </w:pPr>
          </w:p>
        </w:tc>
        <w:tc>
          <w:tcPr>
            <w:tcW w:w="2420" w:type="dxa"/>
            <w:tcBorders>
              <w:top w:val="nil"/>
              <w:left w:val="nil"/>
              <w:bottom w:val="single" w:sz="8" w:space="0" w:color="auto"/>
              <w:right w:val="single" w:sz="8" w:space="0" w:color="auto"/>
            </w:tcBorders>
            <w:vAlign w:val="center"/>
            <w:hideMark/>
          </w:tcPr>
          <w:p w14:paraId="5E0045B9" w14:textId="77777777" w:rsidR="001F6D46" w:rsidRPr="001F6D46" w:rsidRDefault="001F6D46" w:rsidP="001F6D46">
            <w:pPr>
              <w:jc w:val="both"/>
              <w:rPr>
                <w:rFonts w:ascii="Avenir Next" w:eastAsia="Times New Roman" w:hAnsi="Avenir Next" w:cs="Times New Roman"/>
                <w:color w:val="000000"/>
                <w:lang w:val="cs-CZ"/>
              </w:rPr>
            </w:pPr>
            <w:r w:rsidRPr="001F6D46">
              <w:rPr>
                <w:rFonts w:ascii="Avenir Next" w:eastAsia="Times New Roman" w:hAnsi="Avenir Next" w:cs="Times New Roman"/>
                <w:color w:val="000000"/>
                <w:lang w:val="cs-CZ"/>
              </w:rPr>
              <w:t>Rok 1</w:t>
            </w:r>
          </w:p>
        </w:tc>
        <w:tc>
          <w:tcPr>
            <w:tcW w:w="2520" w:type="dxa"/>
            <w:tcBorders>
              <w:top w:val="nil"/>
              <w:left w:val="nil"/>
              <w:bottom w:val="single" w:sz="8" w:space="0" w:color="auto"/>
              <w:right w:val="single" w:sz="8" w:space="0" w:color="auto"/>
            </w:tcBorders>
            <w:vAlign w:val="center"/>
            <w:hideMark/>
          </w:tcPr>
          <w:p w14:paraId="4B7FAC36" w14:textId="77777777" w:rsidR="001F6D46" w:rsidRPr="001F6D46" w:rsidRDefault="001F6D46" w:rsidP="001F6D46">
            <w:pPr>
              <w:jc w:val="both"/>
              <w:rPr>
                <w:rFonts w:ascii="Avenir Next" w:eastAsia="Times New Roman" w:hAnsi="Avenir Next" w:cs="Times New Roman"/>
                <w:color w:val="000000"/>
                <w:lang w:val="cs-CZ"/>
              </w:rPr>
            </w:pPr>
            <w:r w:rsidRPr="001F6D46">
              <w:rPr>
                <w:rFonts w:ascii="Avenir Next" w:eastAsia="Times New Roman" w:hAnsi="Avenir Next" w:cs="Times New Roman"/>
                <w:color w:val="000000"/>
                <w:lang w:val="cs-CZ"/>
              </w:rPr>
              <w:t>Rok 2</w:t>
            </w:r>
          </w:p>
        </w:tc>
        <w:tc>
          <w:tcPr>
            <w:tcW w:w="2520" w:type="dxa"/>
            <w:tcBorders>
              <w:top w:val="nil"/>
              <w:left w:val="nil"/>
              <w:bottom w:val="single" w:sz="8" w:space="0" w:color="auto"/>
              <w:right w:val="single" w:sz="8" w:space="0" w:color="auto"/>
            </w:tcBorders>
            <w:vAlign w:val="center"/>
            <w:hideMark/>
          </w:tcPr>
          <w:p w14:paraId="7BFE83EE" w14:textId="77777777" w:rsidR="001F6D46" w:rsidRPr="001F6D46" w:rsidRDefault="001F6D46" w:rsidP="001F6D46">
            <w:pPr>
              <w:jc w:val="both"/>
              <w:rPr>
                <w:rFonts w:ascii="Avenir Next" w:eastAsia="Times New Roman" w:hAnsi="Avenir Next" w:cs="Times New Roman"/>
                <w:color w:val="000000"/>
                <w:lang w:val="cs-CZ"/>
              </w:rPr>
            </w:pPr>
            <w:r w:rsidRPr="001F6D46">
              <w:rPr>
                <w:rFonts w:ascii="Avenir Next" w:eastAsia="Times New Roman" w:hAnsi="Avenir Next" w:cs="Times New Roman"/>
                <w:color w:val="000000"/>
                <w:lang w:val="cs-CZ"/>
              </w:rPr>
              <w:t>Rok 3</w:t>
            </w:r>
          </w:p>
        </w:tc>
        <w:tc>
          <w:tcPr>
            <w:tcW w:w="2520" w:type="dxa"/>
            <w:tcBorders>
              <w:top w:val="nil"/>
              <w:left w:val="nil"/>
              <w:bottom w:val="single" w:sz="8" w:space="0" w:color="auto"/>
              <w:right w:val="single" w:sz="8" w:space="0" w:color="auto"/>
            </w:tcBorders>
            <w:vAlign w:val="center"/>
            <w:hideMark/>
          </w:tcPr>
          <w:p w14:paraId="6E184C60" w14:textId="77777777" w:rsidR="001F6D46" w:rsidRPr="001F6D46" w:rsidRDefault="001F6D46" w:rsidP="001F6D46">
            <w:pPr>
              <w:jc w:val="both"/>
              <w:rPr>
                <w:rFonts w:ascii="Avenir Next" w:eastAsia="Times New Roman" w:hAnsi="Avenir Next" w:cs="Times New Roman"/>
                <w:color w:val="000000"/>
                <w:lang w:val="cs-CZ"/>
              </w:rPr>
            </w:pPr>
            <w:r w:rsidRPr="001F6D46">
              <w:rPr>
                <w:rFonts w:ascii="Avenir Next" w:eastAsia="Times New Roman" w:hAnsi="Avenir Next" w:cs="Times New Roman"/>
                <w:color w:val="000000"/>
                <w:lang w:val="cs-CZ"/>
              </w:rPr>
              <w:t>Rok 4</w:t>
            </w:r>
          </w:p>
        </w:tc>
        <w:tc>
          <w:tcPr>
            <w:tcW w:w="2520" w:type="dxa"/>
            <w:tcBorders>
              <w:top w:val="nil"/>
              <w:left w:val="nil"/>
              <w:bottom w:val="single" w:sz="8" w:space="0" w:color="auto"/>
              <w:right w:val="single" w:sz="8" w:space="0" w:color="auto"/>
            </w:tcBorders>
            <w:vAlign w:val="center"/>
            <w:hideMark/>
          </w:tcPr>
          <w:p w14:paraId="3536F5F0" w14:textId="77777777" w:rsidR="001F6D46" w:rsidRPr="001F6D46" w:rsidRDefault="001F6D46" w:rsidP="001F6D46">
            <w:pPr>
              <w:jc w:val="both"/>
              <w:rPr>
                <w:rFonts w:ascii="Avenir Next" w:eastAsia="Times New Roman" w:hAnsi="Avenir Next" w:cs="Times New Roman"/>
                <w:color w:val="000000"/>
                <w:lang w:val="cs-CZ"/>
              </w:rPr>
            </w:pPr>
            <w:r w:rsidRPr="001F6D46">
              <w:rPr>
                <w:rFonts w:ascii="Avenir Next" w:eastAsia="Times New Roman" w:hAnsi="Avenir Next" w:cs="Times New Roman"/>
                <w:color w:val="000000"/>
                <w:lang w:val="cs-CZ"/>
              </w:rPr>
              <w:t>Rok 5</w:t>
            </w:r>
          </w:p>
        </w:tc>
      </w:tr>
      <w:tr w:rsidR="004656E5" w:rsidRPr="001F6D46" w14:paraId="15983998" w14:textId="77777777" w:rsidTr="001F6D46">
        <w:trPr>
          <w:trHeight w:val="360"/>
        </w:trPr>
        <w:tc>
          <w:tcPr>
            <w:tcW w:w="1300" w:type="dxa"/>
            <w:tcBorders>
              <w:top w:val="nil"/>
              <w:left w:val="single" w:sz="8" w:space="0" w:color="auto"/>
              <w:bottom w:val="single" w:sz="8" w:space="0" w:color="auto"/>
              <w:right w:val="single" w:sz="8" w:space="0" w:color="auto"/>
            </w:tcBorders>
            <w:vAlign w:val="center"/>
            <w:hideMark/>
          </w:tcPr>
          <w:p w14:paraId="5EB500C9" w14:textId="77777777" w:rsidR="004656E5" w:rsidRPr="001F6D46" w:rsidRDefault="004656E5" w:rsidP="004656E5">
            <w:pPr>
              <w:jc w:val="both"/>
              <w:rPr>
                <w:rFonts w:ascii="Avenir Next" w:eastAsia="Times New Roman" w:hAnsi="Avenir Next" w:cs="Times New Roman"/>
                <w:color w:val="000000"/>
                <w:lang w:val="cs-CZ"/>
              </w:rPr>
            </w:pPr>
            <w:r w:rsidRPr="001F6D46">
              <w:rPr>
                <w:rFonts w:ascii="Avenir Next" w:eastAsia="Times New Roman" w:hAnsi="Avenir Next" w:cs="Times New Roman"/>
                <w:color w:val="000000"/>
                <w:lang w:val="cs-CZ"/>
              </w:rPr>
              <w:t>1 - DM</w:t>
            </w:r>
          </w:p>
        </w:tc>
        <w:tc>
          <w:tcPr>
            <w:tcW w:w="2420" w:type="dxa"/>
            <w:tcBorders>
              <w:top w:val="nil"/>
              <w:left w:val="nil"/>
              <w:bottom w:val="single" w:sz="8" w:space="0" w:color="auto"/>
              <w:right w:val="single" w:sz="8" w:space="0" w:color="auto"/>
            </w:tcBorders>
            <w:vAlign w:val="center"/>
            <w:hideMark/>
          </w:tcPr>
          <w:p w14:paraId="60EC0824" w14:textId="5DB60F39" w:rsidR="004656E5" w:rsidRPr="001F6D46" w:rsidRDefault="004656E5" w:rsidP="004656E5">
            <w:pPr>
              <w:jc w:val="both"/>
              <w:rPr>
                <w:rFonts w:ascii="Avenir Next" w:eastAsia="Times New Roman" w:hAnsi="Avenir Next" w:cs="Times New Roman"/>
                <w:color w:val="000000"/>
                <w:lang w:val="cs-CZ"/>
              </w:rPr>
            </w:pPr>
            <w:r>
              <w:rPr>
                <w:rFonts w:ascii="Avenir Next" w:hAnsi="Avenir Next"/>
                <w:color w:val="000000"/>
              </w:rPr>
              <w:t xml:space="preserve">-          2 791 900,48 Kč </w:t>
            </w:r>
          </w:p>
        </w:tc>
        <w:tc>
          <w:tcPr>
            <w:tcW w:w="2520" w:type="dxa"/>
            <w:tcBorders>
              <w:top w:val="nil"/>
              <w:left w:val="nil"/>
              <w:bottom w:val="single" w:sz="8" w:space="0" w:color="auto"/>
              <w:right w:val="single" w:sz="8" w:space="0" w:color="auto"/>
            </w:tcBorders>
            <w:vAlign w:val="center"/>
            <w:hideMark/>
          </w:tcPr>
          <w:p w14:paraId="5A014736" w14:textId="4DEBFA36" w:rsidR="004656E5" w:rsidRPr="001F6D46" w:rsidRDefault="004656E5" w:rsidP="004656E5">
            <w:pPr>
              <w:jc w:val="both"/>
              <w:rPr>
                <w:rFonts w:ascii="Avenir Next" w:eastAsia="Times New Roman" w:hAnsi="Avenir Next" w:cs="Times New Roman"/>
                <w:color w:val="000000"/>
                <w:lang w:val="cs-CZ"/>
              </w:rPr>
            </w:pPr>
            <w:r>
              <w:rPr>
                <w:rFonts w:ascii="Avenir Next" w:hAnsi="Avenir Next"/>
                <w:color w:val="000000"/>
              </w:rPr>
              <w:t xml:space="preserve">-         17 434 105,87 Kč </w:t>
            </w:r>
          </w:p>
        </w:tc>
        <w:tc>
          <w:tcPr>
            <w:tcW w:w="2520" w:type="dxa"/>
            <w:tcBorders>
              <w:top w:val="nil"/>
              <w:left w:val="nil"/>
              <w:bottom w:val="single" w:sz="8" w:space="0" w:color="auto"/>
              <w:right w:val="single" w:sz="8" w:space="0" w:color="auto"/>
            </w:tcBorders>
            <w:vAlign w:val="center"/>
            <w:hideMark/>
          </w:tcPr>
          <w:p w14:paraId="7E15BF4D" w14:textId="78E91637" w:rsidR="004656E5" w:rsidRPr="001F6D46" w:rsidRDefault="004656E5" w:rsidP="004656E5">
            <w:pPr>
              <w:jc w:val="both"/>
              <w:rPr>
                <w:rFonts w:ascii="Avenir Next" w:eastAsia="Times New Roman" w:hAnsi="Avenir Next" w:cs="Times New Roman"/>
                <w:color w:val="000000"/>
                <w:lang w:val="cs-CZ"/>
              </w:rPr>
            </w:pPr>
            <w:r>
              <w:rPr>
                <w:rFonts w:ascii="Avenir Next" w:hAnsi="Avenir Next"/>
                <w:color w:val="000000"/>
              </w:rPr>
              <w:t xml:space="preserve">-         35 493 205,12 Kč </w:t>
            </w:r>
          </w:p>
        </w:tc>
        <w:tc>
          <w:tcPr>
            <w:tcW w:w="2520" w:type="dxa"/>
            <w:tcBorders>
              <w:top w:val="nil"/>
              <w:left w:val="nil"/>
              <w:bottom w:val="single" w:sz="8" w:space="0" w:color="auto"/>
              <w:right w:val="single" w:sz="8" w:space="0" w:color="auto"/>
            </w:tcBorders>
            <w:vAlign w:val="center"/>
            <w:hideMark/>
          </w:tcPr>
          <w:p w14:paraId="2358E143" w14:textId="08481CED" w:rsidR="004656E5" w:rsidRPr="001F6D46" w:rsidRDefault="004656E5" w:rsidP="004656E5">
            <w:pPr>
              <w:jc w:val="both"/>
              <w:rPr>
                <w:rFonts w:ascii="Avenir Next" w:eastAsia="Times New Roman" w:hAnsi="Avenir Next" w:cs="Times New Roman"/>
                <w:color w:val="000000"/>
                <w:lang w:val="cs-CZ"/>
              </w:rPr>
            </w:pPr>
            <w:r>
              <w:rPr>
                <w:rFonts w:ascii="Avenir Next" w:hAnsi="Avenir Next"/>
                <w:color w:val="000000"/>
              </w:rPr>
              <w:t xml:space="preserve">-         55 019 853,37 Kč </w:t>
            </w:r>
          </w:p>
        </w:tc>
        <w:tc>
          <w:tcPr>
            <w:tcW w:w="2520" w:type="dxa"/>
            <w:tcBorders>
              <w:top w:val="nil"/>
              <w:left w:val="nil"/>
              <w:bottom w:val="single" w:sz="8" w:space="0" w:color="auto"/>
              <w:right w:val="single" w:sz="8" w:space="0" w:color="auto"/>
            </w:tcBorders>
            <w:vAlign w:val="center"/>
            <w:hideMark/>
          </w:tcPr>
          <w:p w14:paraId="23C69D96" w14:textId="46C15D10" w:rsidR="004656E5" w:rsidRPr="001F6D46" w:rsidRDefault="004656E5" w:rsidP="004656E5">
            <w:pPr>
              <w:jc w:val="both"/>
              <w:rPr>
                <w:rFonts w:ascii="Avenir Next" w:eastAsia="Times New Roman" w:hAnsi="Avenir Next" w:cs="Times New Roman"/>
                <w:color w:val="000000"/>
                <w:lang w:val="cs-CZ"/>
              </w:rPr>
            </w:pPr>
            <w:r>
              <w:rPr>
                <w:rFonts w:ascii="Avenir Next" w:hAnsi="Avenir Next"/>
                <w:color w:val="000000"/>
              </w:rPr>
              <w:t xml:space="preserve">-         76 232 110,51 Kč </w:t>
            </w:r>
          </w:p>
        </w:tc>
      </w:tr>
      <w:tr w:rsidR="004656E5" w:rsidRPr="001F6D46" w14:paraId="0F87F311" w14:textId="77777777" w:rsidTr="001F6D46">
        <w:trPr>
          <w:trHeight w:val="360"/>
        </w:trPr>
        <w:tc>
          <w:tcPr>
            <w:tcW w:w="1300" w:type="dxa"/>
            <w:tcBorders>
              <w:top w:val="nil"/>
              <w:left w:val="single" w:sz="8" w:space="0" w:color="auto"/>
              <w:bottom w:val="single" w:sz="8" w:space="0" w:color="auto"/>
              <w:right w:val="single" w:sz="8" w:space="0" w:color="auto"/>
            </w:tcBorders>
            <w:vAlign w:val="center"/>
            <w:hideMark/>
          </w:tcPr>
          <w:p w14:paraId="0BE6353E" w14:textId="77777777" w:rsidR="004656E5" w:rsidRPr="001F6D46" w:rsidRDefault="004656E5" w:rsidP="004656E5">
            <w:pPr>
              <w:jc w:val="both"/>
              <w:rPr>
                <w:rFonts w:ascii="Avenir Next" w:eastAsia="Times New Roman" w:hAnsi="Avenir Next" w:cs="Times New Roman"/>
                <w:color w:val="000000"/>
                <w:lang w:val="cs-CZ"/>
              </w:rPr>
            </w:pPr>
            <w:r w:rsidRPr="001F6D46">
              <w:rPr>
                <w:rFonts w:ascii="Avenir Next" w:eastAsia="Times New Roman" w:hAnsi="Avenir Next" w:cs="Times New Roman"/>
                <w:color w:val="000000"/>
                <w:lang w:val="cs-CZ"/>
              </w:rPr>
              <w:t>1 - HM</w:t>
            </w:r>
          </w:p>
        </w:tc>
        <w:tc>
          <w:tcPr>
            <w:tcW w:w="2420" w:type="dxa"/>
            <w:tcBorders>
              <w:top w:val="nil"/>
              <w:left w:val="nil"/>
              <w:bottom w:val="single" w:sz="8" w:space="0" w:color="auto"/>
              <w:right w:val="single" w:sz="8" w:space="0" w:color="auto"/>
            </w:tcBorders>
            <w:vAlign w:val="center"/>
            <w:hideMark/>
          </w:tcPr>
          <w:p w14:paraId="199547C5" w14:textId="66A71347" w:rsidR="004656E5" w:rsidRPr="001F6D46" w:rsidRDefault="004656E5" w:rsidP="004656E5">
            <w:pPr>
              <w:jc w:val="both"/>
              <w:rPr>
                <w:rFonts w:ascii="Avenir Next" w:eastAsia="Times New Roman" w:hAnsi="Avenir Next" w:cs="Times New Roman"/>
                <w:color w:val="000000"/>
                <w:lang w:val="cs-CZ"/>
              </w:rPr>
            </w:pPr>
            <w:r>
              <w:rPr>
                <w:rFonts w:ascii="Avenir Next" w:hAnsi="Avenir Next"/>
                <w:color w:val="000000"/>
              </w:rPr>
              <w:t xml:space="preserve">-          3 412 322,81 Kč </w:t>
            </w:r>
          </w:p>
        </w:tc>
        <w:tc>
          <w:tcPr>
            <w:tcW w:w="2520" w:type="dxa"/>
            <w:tcBorders>
              <w:top w:val="nil"/>
              <w:left w:val="nil"/>
              <w:bottom w:val="single" w:sz="8" w:space="0" w:color="auto"/>
              <w:right w:val="single" w:sz="8" w:space="0" w:color="auto"/>
            </w:tcBorders>
            <w:vAlign w:val="center"/>
            <w:hideMark/>
          </w:tcPr>
          <w:p w14:paraId="0EEF058B" w14:textId="0F3C9A59" w:rsidR="004656E5" w:rsidRPr="001F6D46" w:rsidRDefault="004656E5" w:rsidP="004656E5">
            <w:pPr>
              <w:jc w:val="both"/>
              <w:rPr>
                <w:rFonts w:ascii="Avenir Next" w:eastAsia="Times New Roman" w:hAnsi="Avenir Next" w:cs="Times New Roman"/>
                <w:color w:val="000000"/>
                <w:lang w:val="cs-CZ"/>
              </w:rPr>
            </w:pPr>
            <w:r>
              <w:rPr>
                <w:rFonts w:ascii="Avenir Next" w:hAnsi="Avenir Next"/>
                <w:color w:val="000000"/>
              </w:rPr>
              <w:t xml:space="preserve">-         21 308 351,62 Kč </w:t>
            </w:r>
          </w:p>
        </w:tc>
        <w:tc>
          <w:tcPr>
            <w:tcW w:w="2520" w:type="dxa"/>
            <w:tcBorders>
              <w:top w:val="nil"/>
              <w:left w:val="nil"/>
              <w:bottom w:val="single" w:sz="8" w:space="0" w:color="auto"/>
              <w:right w:val="single" w:sz="8" w:space="0" w:color="auto"/>
            </w:tcBorders>
            <w:vAlign w:val="center"/>
            <w:hideMark/>
          </w:tcPr>
          <w:p w14:paraId="02B46916" w14:textId="6BF5FD98" w:rsidR="004656E5" w:rsidRPr="001F6D46" w:rsidRDefault="004656E5" w:rsidP="004656E5">
            <w:pPr>
              <w:jc w:val="both"/>
              <w:rPr>
                <w:rFonts w:ascii="Avenir Next" w:eastAsia="Times New Roman" w:hAnsi="Avenir Next" w:cs="Times New Roman"/>
                <w:color w:val="000000"/>
                <w:lang w:val="cs-CZ"/>
              </w:rPr>
            </w:pPr>
            <w:r>
              <w:rPr>
                <w:rFonts w:ascii="Avenir Next" w:hAnsi="Avenir Next"/>
                <w:color w:val="000000"/>
              </w:rPr>
              <w:t xml:space="preserve">-         43 380 584,03 Kč </w:t>
            </w:r>
          </w:p>
        </w:tc>
        <w:tc>
          <w:tcPr>
            <w:tcW w:w="2520" w:type="dxa"/>
            <w:tcBorders>
              <w:top w:val="nil"/>
              <w:left w:val="nil"/>
              <w:bottom w:val="single" w:sz="8" w:space="0" w:color="auto"/>
              <w:right w:val="single" w:sz="8" w:space="0" w:color="auto"/>
            </w:tcBorders>
            <w:vAlign w:val="center"/>
            <w:hideMark/>
          </w:tcPr>
          <w:p w14:paraId="5E301E53" w14:textId="6479EBB1" w:rsidR="004656E5" w:rsidRPr="001F6D46" w:rsidRDefault="004656E5" w:rsidP="004656E5">
            <w:pPr>
              <w:jc w:val="both"/>
              <w:rPr>
                <w:rFonts w:ascii="Avenir Next" w:eastAsia="Times New Roman" w:hAnsi="Avenir Next" w:cs="Times New Roman"/>
                <w:color w:val="000000"/>
                <w:lang w:val="cs-CZ"/>
              </w:rPr>
            </w:pPr>
            <w:r>
              <w:rPr>
                <w:rFonts w:ascii="Avenir Next" w:hAnsi="Avenir Next"/>
                <w:color w:val="000000"/>
              </w:rPr>
              <w:t xml:space="preserve">-         67 246 487,46 Kč </w:t>
            </w:r>
          </w:p>
        </w:tc>
        <w:tc>
          <w:tcPr>
            <w:tcW w:w="2520" w:type="dxa"/>
            <w:tcBorders>
              <w:top w:val="nil"/>
              <w:left w:val="nil"/>
              <w:bottom w:val="single" w:sz="8" w:space="0" w:color="auto"/>
              <w:right w:val="single" w:sz="8" w:space="0" w:color="auto"/>
            </w:tcBorders>
            <w:vAlign w:val="center"/>
            <w:hideMark/>
          </w:tcPr>
          <w:p w14:paraId="77082BDF" w14:textId="113F3B8C" w:rsidR="004656E5" w:rsidRPr="001F6D46" w:rsidRDefault="004656E5" w:rsidP="004656E5">
            <w:pPr>
              <w:jc w:val="both"/>
              <w:rPr>
                <w:rFonts w:ascii="Avenir Next" w:eastAsia="Times New Roman" w:hAnsi="Avenir Next" w:cs="Times New Roman"/>
                <w:color w:val="000000"/>
                <w:lang w:val="cs-CZ"/>
              </w:rPr>
            </w:pPr>
            <w:r>
              <w:rPr>
                <w:rFonts w:ascii="Avenir Next" w:hAnsi="Avenir Next"/>
                <w:color w:val="000000"/>
              </w:rPr>
              <w:t xml:space="preserve">-         93 172 579,52 Kč </w:t>
            </w:r>
          </w:p>
        </w:tc>
      </w:tr>
      <w:tr w:rsidR="004656E5" w:rsidRPr="001F6D46" w14:paraId="6BD443AD" w14:textId="77777777" w:rsidTr="001F6D46">
        <w:trPr>
          <w:trHeight w:val="360"/>
        </w:trPr>
        <w:tc>
          <w:tcPr>
            <w:tcW w:w="1300" w:type="dxa"/>
            <w:tcBorders>
              <w:top w:val="nil"/>
              <w:left w:val="single" w:sz="8" w:space="0" w:color="auto"/>
              <w:bottom w:val="single" w:sz="8" w:space="0" w:color="auto"/>
              <w:right w:val="single" w:sz="8" w:space="0" w:color="auto"/>
            </w:tcBorders>
            <w:vAlign w:val="center"/>
            <w:hideMark/>
          </w:tcPr>
          <w:p w14:paraId="6D84799D" w14:textId="77777777" w:rsidR="004656E5" w:rsidRPr="001F6D46" w:rsidRDefault="004656E5" w:rsidP="004656E5">
            <w:pPr>
              <w:jc w:val="both"/>
              <w:rPr>
                <w:rFonts w:ascii="Avenir Next" w:eastAsia="Times New Roman" w:hAnsi="Avenir Next" w:cs="Times New Roman"/>
                <w:color w:val="000000"/>
                <w:lang w:val="cs-CZ"/>
              </w:rPr>
            </w:pPr>
            <w:r w:rsidRPr="001F6D46">
              <w:rPr>
                <w:rFonts w:ascii="Avenir Next" w:eastAsia="Times New Roman" w:hAnsi="Avenir Next" w:cs="Times New Roman"/>
                <w:color w:val="000000"/>
                <w:lang w:val="cs-CZ"/>
              </w:rPr>
              <w:t>2 - DM</w:t>
            </w:r>
          </w:p>
        </w:tc>
        <w:tc>
          <w:tcPr>
            <w:tcW w:w="2420" w:type="dxa"/>
            <w:tcBorders>
              <w:top w:val="nil"/>
              <w:left w:val="nil"/>
              <w:bottom w:val="single" w:sz="8" w:space="0" w:color="auto"/>
              <w:right w:val="single" w:sz="8" w:space="0" w:color="auto"/>
            </w:tcBorders>
            <w:vAlign w:val="center"/>
            <w:hideMark/>
          </w:tcPr>
          <w:p w14:paraId="0E3A5CD9" w14:textId="3632C8D6" w:rsidR="004656E5" w:rsidRPr="001F6D46" w:rsidRDefault="004656E5" w:rsidP="004656E5">
            <w:pPr>
              <w:jc w:val="both"/>
              <w:rPr>
                <w:rFonts w:ascii="Avenir Next" w:eastAsia="Times New Roman" w:hAnsi="Avenir Next" w:cs="Times New Roman"/>
                <w:color w:val="000000"/>
                <w:lang w:val="cs-CZ"/>
              </w:rPr>
            </w:pPr>
            <w:r>
              <w:rPr>
                <w:rFonts w:ascii="Avenir Next" w:hAnsi="Avenir Next"/>
                <w:color w:val="000000"/>
              </w:rPr>
              <w:t xml:space="preserve">-          9 444 259,94 Kč </w:t>
            </w:r>
          </w:p>
        </w:tc>
        <w:tc>
          <w:tcPr>
            <w:tcW w:w="2520" w:type="dxa"/>
            <w:tcBorders>
              <w:top w:val="nil"/>
              <w:left w:val="nil"/>
              <w:bottom w:val="single" w:sz="8" w:space="0" w:color="auto"/>
              <w:right w:val="single" w:sz="8" w:space="0" w:color="auto"/>
            </w:tcBorders>
            <w:vAlign w:val="center"/>
            <w:hideMark/>
          </w:tcPr>
          <w:p w14:paraId="70089804" w14:textId="65DE0F54" w:rsidR="004656E5" w:rsidRPr="001F6D46" w:rsidRDefault="004656E5" w:rsidP="004656E5">
            <w:pPr>
              <w:jc w:val="both"/>
              <w:rPr>
                <w:rFonts w:ascii="Avenir Next" w:eastAsia="Times New Roman" w:hAnsi="Avenir Next" w:cs="Times New Roman"/>
                <w:color w:val="000000"/>
                <w:lang w:val="cs-CZ"/>
              </w:rPr>
            </w:pPr>
            <w:r>
              <w:rPr>
                <w:rFonts w:ascii="Avenir Next" w:hAnsi="Avenir Next"/>
                <w:color w:val="000000"/>
              </w:rPr>
              <w:t xml:space="preserve">-         28 702 056,84 Kč </w:t>
            </w:r>
          </w:p>
        </w:tc>
        <w:tc>
          <w:tcPr>
            <w:tcW w:w="2520" w:type="dxa"/>
            <w:tcBorders>
              <w:top w:val="nil"/>
              <w:left w:val="nil"/>
              <w:bottom w:val="single" w:sz="8" w:space="0" w:color="auto"/>
              <w:right w:val="single" w:sz="8" w:space="0" w:color="auto"/>
            </w:tcBorders>
            <w:vAlign w:val="center"/>
            <w:hideMark/>
          </w:tcPr>
          <w:p w14:paraId="14BCD195" w14:textId="5B3EDF5F" w:rsidR="004656E5" w:rsidRPr="001F6D46" w:rsidRDefault="004656E5" w:rsidP="004656E5">
            <w:pPr>
              <w:jc w:val="both"/>
              <w:rPr>
                <w:rFonts w:ascii="Avenir Next" w:eastAsia="Times New Roman" w:hAnsi="Avenir Next" w:cs="Times New Roman"/>
                <w:color w:val="000000"/>
                <w:lang w:val="cs-CZ"/>
              </w:rPr>
            </w:pPr>
            <w:r>
              <w:rPr>
                <w:rFonts w:ascii="Avenir Next" w:hAnsi="Avenir Next"/>
                <w:color w:val="000000"/>
              </w:rPr>
              <w:t xml:space="preserve">-         51 137 518,80 Kč </w:t>
            </w:r>
          </w:p>
        </w:tc>
        <w:tc>
          <w:tcPr>
            <w:tcW w:w="2520" w:type="dxa"/>
            <w:tcBorders>
              <w:top w:val="nil"/>
              <w:left w:val="nil"/>
              <w:bottom w:val="single" w:sz="8" w:space="0" w:color="auto"/>
              <w:right w:val="single" w:sz="8" w:space="0" w:color="auto"/>
            </w:tcBorders>
            <w:vAlign w:val="center"/>
            <w:hideMark/>
          </w:tcPr>
          <w:p w14:paraId="2AC10BD6" w14:textId="6A0739ED" w:rsidR="004656E5" w:rsidRPr="001F6D46" w:rsidRDefault="004656E5" w:rsidP="004656E5">
            <w:pPr>
              <w:jc w:val="both"/>
              <w:rPr>
                <w:rFonts w:ascii="Avenir Next" w:eastAsia="Times New Roman" w:hAnsi="Avenir Next" w:cs="Times New Roman"/>
                <w:color w:val="000000"/>
                <w:lang w:val="cs-CZ"/>
              </w:rPr>
            </w:pPr>
            <w:r>
              <w:rPr>
                <w:rFonts w:ascii="Avenir Next" w:hAnsi="Avenir Next"/>
                <w:color w:val="000000"/>
              </w:rPr>
              <w:t xml:space="preserve">-         75 690 190,94 Kč </w:t>
            </w:r>
          </w:p>
        </w:tc>
        <w:tc>
          <w:tcPr>
            <w:tcW w:w="2520" w:type="dxa"/>
            <w:tcBorders>
              <w:top w:val="nil"/>
              <w:left w:val="nil"/>
              <w:bottom w:val="single" w:sz="8" w:space="0" w:color="auto"/>
              <w:right w:val="single" w:sz="8" w:space="0" w:color="auto"/>
            </w:tcBorders>
            <w:vAlign w:val="center"/>
            <w:hideMark/>
          </w:tcPr>
          <w:p w14:paraId="4AEFC7E4" w14:textId="4628E929" w:rsidR="004656E5" w:rsidRPr="001F6D46" w:rsidRDefault="004656E5" w:rsidP="004656E5">
            <w:pPr>
              <w:jc w:val="both"/>
              <w:rPr>
                <w:rFonts w:ascii="Avenir Next" w:eastAsia="Times New Roman" w:hAnsi="Avenir Next" w:cs="Times New Roman"/>
                <w:color w:val="000000"/>
                <w:lang w:val="cs-CZ"/>
              </w:rPr>
            </w:pPr>
            <w:r>
              <w:rPr>
                <w:rFonts w:ascii="Avenir Next" w:hAnsi="Avenir Next"/>
                <w:color w:val="000000"/>
              </w:rPr>
              <w:t xml:space="preserve">-       101 864 942,38 Kč </w:t>
            </w:r>
          </w:p>
        </w:tc>
      </w:tr>
      <w:tr w:rsidR="004656E5" w:rsidRPr="001F6D46" w14:paraId="73EAD1A0" w14:textId="77777777" w:rsidTr="001F6D46">
        <w:trPr>
          <w:trHeight w:val="360"/>
        </w:trPr>
        <w:tc>
          <w:tcPr>
            <w:tcW w:w="1300" w:type="dxa"/>
            <w:tcBorders>
              <w:top w:val="nil"/>
              <w:left w:val="single" w:sz="8" w:space="0" w:color="auto"/>
              <w:bottom w:val="single" w:sz="8" w:space="0" w:color="auto"/>
              <w:right w:val="single" w:sz="8" w:space="0" w:color="auto"/>
            </w:tcBorders>
            <w:vAlign w:val="center"/>
            <w:hideMark/>
          </w:tcPr>
          <w:p w14:paraId="4935397C" w14:textId="77777777" w:rsidR="004656E5" w:rsidRPr="001F6D46" w:rsidRDefault="004656E5" w:rsidP="004656E5">
            <w:pPr>
              <w:jc w:val="both"/>
              <w:rPr>
                <w:rFonts w:ascii="Avenir Next" w:eastAsia="Times New Roman" w:hAnsi="Avenir Next" w:cs="Times New Roman"/>
                <w:color w:val="000000"/>
                <w:lang w:val="cs-CZ"/>
              </w:rPr>
            </w:pPr>
            <w:r w:rsidRPr="001F6D46">
              <w:rPr>
                <w:rFonts w:ascii="Avenir Next" w:eastAsia="Times New Roman" w:hAnsi="Avenir Next" w:cs="Times New Roman"/>
                <w:color w:val="000000"/>
                <w:lang w:val="cs-CZ"/>
              </w:rPr>
              <w:t>2 - HM</w:t>
            </w:r>
          </w:p>
        </w:tc>
        <w:tc>
          <w:tcPr>
            <w:tcW w:w="2420" w:type="dxa"/>
            <w:tcBorders>
              <w:top w:val="nil"/>
              <w:left w:val="nil"/>
              <w:bottom w:val="single" w:sz="8" w:space="0" w:color="auto"/>
              <w:right w:val="single" w:sz="8" w:space="0" w:color="auto"/>
            </w:tcBorders>
            <w:vAlign w:val="center"/>
            <w:hideMark/>
          </w:tcPr>
          <w:p w14:paraId="19EB2AA2" w14:textId="6382997E" w:rsidR="004656E5" w:rsidRPr="001F6D46" w:rsidRDefault="004656E5" w:rsidP="004656E5">
            <w:pPr>
              <w:jc w:val="both"/>
              <w:rPr>
                <w:rFonts w:ascii="Avenir Next" w:eastAsia="Times New Roman" w:hAnsi="Avenir Next" w:cs="Times New Roman"/>
                <w:color w:val="000000"/>
                <w:lang w:val="cs-CZ"/>
              </w:rPr>
            </w:pPr>
            <w:r>
              <w:rPr>
                <w:rFonts w:ascii="Avenir Next" w:hAnsi="Avenir Next"/>
                <w:color w:val="000000"/>
              </w:rPr>
              <w:t xml:space="preserve">-          1 994 676,40 Kč </w:t>
            </w:r>
          </w:p>
        </w:tc>
        <w:tc>
          <w:tcPr>
            <w:tcW w:w="2520" w:type="dxa"/>
            <w:tcBorders>
              <w:top w:val="nil"/>
              <w:left w:val="nil"/>
              <w:bottom w:val="single" w:sz="8" w:space="0" w:color="auto"/>
              <w:right w:val="single" w:sz="8" w:space="0" w:color="auto"/>
            </w:tcBorders>
            <w:vAlign w:val="center"/>
            <w:hideMark/>
          </w:tcPr>
          <w:p w14:paraId="6DCF417F" w14:textId="6339572C" w:rsidR="004656E5" w:rsidRPr="001F6D46" w:rsidRDefault="004656E5" w:rsidP="004656E5">
            <w:pPr>
              <w:jc w:val="both"/>
              <w:rPr>
                <w:rFonts w:ascii="Avenir Next" w:eastAsia="Times New Roman" w:hAnsi="Avenir Next" w:cs="Times New Roman"/>
                <w:color w:val="000000"/>
                <w:lang w:val="cs-CZ"/>
              </w:rPr>
            </w:pPr>
            <w:r>
              <w:rPr>
                <w:rFonts w:ascii="Avenir Next" w:hAnsi="Avenir Next"/>
                <w:color w:val="000000"/>
              </w:rPr>
              <w:t xml:space="preserve">-         17 566 947,11 Kč </w:t>
            </w:r>
          </w:p>
        </w:tc>
        <w:tc>
          <w:tcPr>
            <w:tcW w:w="2520" w:type="dxa"/>
            <w:tcBorders>
              <w:top w:val="nil"/>
              <w:left w:val="nil"/>
              <w:bottom w:val="single" w:sz="8" w:space="0" w:color="auto"/>
              <w:right w:val="single" w:sz="8" w:space="0" w:color="auto"/>
            </w:tcBorders>
            <w:vAlign w:val="center"/>
            <w:hideMark/>
          </w:tcPr>
          <w:p w14:paraId="43108B44" w14:textId="7F1F7453" w:rsidR="004656E5" w:rsidRPr="001F6D46" w:rsidRDefault="004656E5" w:rsidP="004656E5">
            <w:pPr>
              <w:jc w:val="both"/>
              <w:rPr>
                <w:rFonts w:ascii="Avenir Next" w:eastAsia="Times New Roman" w:hAnsi="Avenir Next" w:cs="Times New Roman"/>
                <w:color w:val="000000"/>
                <w:lang w:val="cs-CZ"/>
              </w:rPr>
            </w:pPr>
            <w:r>
              <w:rPr>
                <w:rFonts w:ascii="Avenir Next" w:hAnsi="Avenir Next"/>
                <w:color w:val="000000"/>
              </w:rPr>
              <w:t xml:space="preserve">-         36 967 215,38 Kč </w:t>
            </w:r>
          </w:p>
        </w:tc>
        <w:tc>
          <w:tcPr>
            <w:tcW w:w="2520" w:type="dxa"/>
            <w:tcBorders>
              <w:top w:val="nil"/>
              <w:left w:val="nil"/>
              <w:bottom w:val="single" w:sz="8" w:space="0" w:color="auto"/>
              <w:right w:val="single" w:sz="8" w:space="0" w:color="auto"/>
            </w:tcBorders>
            <w:vAlign w:val="center"/>
            <w:hideMark/>
          </w:tcPr>
          <w:p w14:paraId="6CBB795B" w14:textId="4B48FB85" w:rsidR="004656E5" w:rsidRPr="001F6D46" w:rsidRDefault="004656E5" w:rsidP="004656E5">
            <w:pPr>
              <w:jc w:val="both"/>
              <w:rPr>
                <w:rFonts w:ascii="Avenir Next" w:eastAsia="Times New Roman" w:hAnsi="Avenir Next" w:cs="Times New Roman"/>
                <w:color w:val="000000"/>
                <w:lang w:val="cs-CZ"/>
              </w:rPr>
            </w:pPr>
            <w:r>
              <w:rPr>
                <w:rFonts w:ascii="Avenir Next" w:hAnsi="Avenir Next"/>
                <w:color w:val="000000"/>
              </w:rPr>
              <w:t xml:space="preserve">-         57 856 156,73 Kč </w:t>
            </w:r>
          </w:p>
        </w:tc>
        <w:tc>
          <w:tcPr>
            <w:tcW w:w="2520" w:type="dxa"/>
            <w:tcBorders>
              <w:top w:val="nil"/>
              <w:left w:val="nil"/>
              <w:bottom w:val="single" w:sz="8" w:space="0" w:color="auto"/>
              <w:right w:val="single" w:sz="8" w:space="0" w:color="auto"/>
            </w:tcBorders>
            <w:vAlign w:val="center"/>
            <w:hideMark/>
          </w:tcPr>
          <w:p w14:paraId="6F2B871A" w14:textId="15A0D2B5" w:rsidR="004656E5" w:rsidRPr="001F6D46" w:rsidRDefault="004656E5" w:rsidP="004656E5">
            <w:pPr>
              <w:jc w:val="both"/>
              <w:rPr>
                <w:rFonts w:ascii="Avenir Next" w:eastAsia="Times New Roman" w:hAnsi="Avenir Next" w:cs="Times New Roman"/>
                <w:color w:val="000000"/>
                <w:lang w:val="cs-CZ"/>
              </w:rPr>
            </w:pPr>
            <w:r>
              <w:rPr>
                <w:rFonts w:ascii="Avenir Next" w:hAnsi="Avenir Next"/>
                <w:color w:val="000000"/>
              </w:rPr>
              <w:t xml:space="preserve">-         80 274 602,13 Kč </w:t>
            </w:r>
          </w:p>
        </w:tc>
      </w:tr>
    </w:tbl>
    <w:p w14:paraId="000000B5" w14:textId="5C1A05A2" w:rsidR="006369AE" w:rsidRDefault="006369AE">
      <w:pPr>
        <w:jc w:val="center"/>
        <w:sectPr w:rsidR="006369AE">
          <w:pgSz w:w="16838" w:h="11906" w:orient="landscape"/>
          <w:pgMar w:top="1417" w:right="1417" w:bottom="1417" w:left="1417" w:header="708" w:footer="708" w:gutter="0"/>
          <w:cols w:space="708"/>
        </w:sectPr>
      </w:pPr>
    </w:p>
    <w:p w14:paraId="000000B6" w14:textId="77777777" w:rsidR="006369AE" w:rsidRDefault="006369AE"/>
    <w:p w14:paraId="000000B7" w14:textId="77777777" w:rsidR="006369AE" w:rsidRDefault="00000000">
      <w:pPr>
        <w:pStyle w:val="Nadpis2"/>
        <w:numPr>
          <w:ilvl w:val="1"/>
          <w:numId w:val="1"/>
        </w:numPr>
        <w:ind w:hanging="432"/>
      </w:pPr>
      <w:bookmarkStart w:id="13" w:name="_heading=h.1ehthpjsjwxq" w:colFirst="0" w:colLast="0"/>
      <w:bookmarkEnd w:id="13"/>
      <w:r>
        <w:t>INTERPRETACE A ZÁVĚR ANALÝZY</w:t>
      </w:r>
    </w:p>
    <w:p w14:paraId="000000B8" w14:textId="5B859E25" w:rsidR="006369AE" w:rsidRDefault="00000000">
      <w:pPr>
        <w:pBdr>
          <w:top w:val="single" w:sz="4" w:space="1" w:color="000000"/>
          <w:left w:val="single" w:sz="4" w:space="4" w:color="000000"/>
          <w:bottom w:val="single" w:sz="4" w:space="1" w:color="000000"/>
          <w:right w:val="single" w:sz="4" w:space="4" w:color="000000"/>
        </w:pBdr>
        <w:jc w:val="both"/>
        <w:rPr>
          <w:b/>
          <w:bCs/>
        </w:rPr>
      </w:pPr>
      <w:r>
        <w:rPr>
          <w:b/>
          <w:bCs/>
        </w:rPr>
        <w:t xml:space="preserve">Jak je vidět z výše uvedeného, zavedení navrhovaného souboru výkonů do seznamu hrazených výkonů (735-2026-03-23-09-07-27 - IMPLANTACE PORTU PRO KONTINUÁLNÍ PODÁNÍ LÉČIVA, 735-2026-03-23-10-13-56 - DOPLNĚNÍ PORTU PRO KONTINUÁLNÍ PODÁNÍ LÉČIVA a 735-2026-03-23-10-27-33 - EXPLANTACE PORTU PRO KONTINUÁLNÍ PODÁNÍ LÉČIVA) vede k pozitivnímu dopadu na rozpočet, tedy dochází k šetření již od prvního roku zavedení nového výkonu. Z výše uvedených výsledků je vidět, že již v prvním roce po vstupu výkonů do systému hrazených výkonů v České republice je možno ušetřit přes </w:t>
      </w:r>
      <w:r w:rsidR="004656E5">
        <w:rPr>
          <w:b/>
          <w:bCs/>
        </w:rPr>
        <w:t>3</w:t>
      </w:r>
      <w:r>
        <w:rPr>
          <w:b/>
          <w:bCs/>
        </w:rPr>
        <w:t xml:space="preserve"> milion</w:t>
      </w:r>
      <w:r w:rsidR="004656E5">
        <w:rPr>
          <w:b/>
          <w:bCs/>
        </w:rPr>
        <w:t>y</w:t>
      </w:r>
      <w:r>
        <w:rPr>
          <w:b/>
          <w:bCs/>
        </w:rPr>
        <w:t xml:space="preserve"> oproti stávající léčbě. Přičemž po pěti letech je toto ušetření </w:t>
      </w:r>
      <w:r w:rsidR="00490948">
        <w:rPr>
          <w:b/>
          <w:bCs/>
        </w:rPr>
        <w:t>8</w:t>
      </w:r>
      <w:r w:rsidR="004656E5">
        <w:rPr>
          <w:b/>
          <w:bCs/>
        </w:rPr>
        <w:t>4</w:t>
      </w:r>
      <w:r>
        <w:rPr>
          <w:b/>
          <w:bCs/>
        </w:rPr>
        <w:t xml:space="preserve"> milionů. </w:t>
      </w:r>
    </w:p>
    <w:p w14:paraId="000000B9" w14:textId="77777777" w:rsidR="006369AE" w:rsidRDefault="00000000">
      <w:pPr>
        <w:pBdr>
          <w:top w:val="single" w:sz="4" w:space="1" w:color="000000"/>
          <w:left w:val="single" w:sz="4" w:space="4" w:color="000000"/>
          <w:bottom w:val="single" w:sz="4" w:space="1" w:color="000000"/>
          <w:right w:val="single" w:sz="4" w:space="4" w:color="000000"/>
        </w:pBdr>
        <w:ind w:firstLine="708"/>
        <w:jc w:val="both"/>
        <w:rPr>
          <w:b/>
          <w:bCs/>
        </w:rPr>
      </w:pPr>
      <w:r>
        <w:rPr>
          <w:b/>
          <w:bCs/>
        </w:rPr>
        <w:t xml:space="preserve">Důvodem je především výrazně menší četnost doplňování léčiva než u současné standardní procedury. Navíc toto snížení četnosti má vliv i na kvalitu života pacienta při zachování účinnosti léčby. Tento trend ušetření nákladů při vstupu výkonů do seznamu potvrzuje i citlivostní analýza. Na základě této analýzy dopadu na rozpočet lze zavedení výše uvedených výkonů do seznamu hrazených výkonů jednoznačně doporučit. </w:t>
      </w:r>
    </w:p>
    <w:p w14:paraId="000000BA" w14:textId="77777777" w:rsidR="006369AE" w:rsidRDefault="006369AE">
      <w:pPr>
        <w:jc w:val="both"/>
      </w:pPr>
    </w:p>
    <w:p w14:paraId="000000BB" w14:textId="69D6E8C9" w:rsidR="006369AE" w:rsidRDefault="00871F87" w:rsidP="00871F87">
      <w:pPr>
        <w:pStyle w:val="Nadpis1"/>
      </w:pPr>
      <w:r>
        <w:t>Reference</w:t>
      </w:r>
    </w:p>
    <w:p w14:paraId="357293BF" w14:textId="54A06C67" w:rsidR="00871F87" w:rsidRPr="00871F87" w:rsidRDefault="00871F87" w:rsidP="00871F87">
      <w:pPr>
        <w:widowControl w:val="0"/>
        <w:autoSpaceDE w:val="0"/>
        <w:autoSpaceDN w:val="0"/>
        <w:adjustRightInd w:val="0"/>
        <w:ind w:left="640" w:hanging="640"/>
        <w:rPr>
          <w:rFonts w:cs="Times New Roman"/>
          <w:noProof/>
        </w:rPr>
      </w:pPr>
      <w:r>
        <w:fldChar w:fldCharType="begin" w:fldLock="1"/>
      </w:r>
      <w:r>
        <w:instrText xml:space="preserve">ADDIN Mendeley Bibliography CSL_BIBLIOGRAPHY </w:instrText>
      </w:r>
      <w:r>
        <w:fldChar w:fldCharType="separate"/>
      </w:r>
      <w:r w:rsidRPr="00871F87">
        <w:rPr>
          <w:rFonts w:cs="Times New Roman"/>
          <w:noProof/>
        </w:rPr>
        <w:t xml:space="preserve">[1] </w:t>
      </w:r>
      <w:r w:rsidRPr="00871F87">
        <w:rPr>
          <w:rFonts w:cs="Times New Roman"/>
          <w:noProof/>
        </w:rPr>
        <w:tab/>
        <w:t xml:space="preserve">GENENTECH INC. A MEMBER OF THE ROCHE GROUP. </w:t>
      </w:r>
      <w:r w:rsidRPr="00871F87">
        <w:rPr>
          <w:rFonts w:cs="Times New Roman"/>
          <w:i/>
          <w:iCs/>
          <w:noProof/>
        </w:rPr>
        <w:t>Instructions For Use Port Delivery System with Ranibizumab, TEC-0124315, Version 16.0, 2024-06-19</w:t>
      </w:r>
      <w:r w:rsidRPr="00871F87">
        <w:rPr>
          <w:rFonts w:cs="Times New Roman"/>
          <w:noProof/>
        </w:rPr>
        <w:t>. 2024</w:t>
      </w:r>
    </w:p>
    <w:p w14:paraId="079ADF7B" w14:textId="77777777" w:rsidR="00871F87" w:rsidRPr="00871F87" w:rsidRDefault="00871F87" w:rsidP="00871F87">
      <w:pPr>
        <w:widowControl w:val="0"/>
        <w:autoSpaceDE w:val="0"/>
        <w:autoSpaceDN w:val="0"/>
        <w:adjustRightInd w:val="0"/>
        <w:ind w:left="640" w:hanging="640"/>
        <w:rPr>
          <w:rFonts w:cs="Times New Roman"/>
          <w:noProof/>
        </w:rPr>
      </w:pPr>
      <w:r w:rsidRPr="00871F87">
        <w:rPr>
          <w:rFonts w:cs="Times New Roman"/>
          <w:noProof/>
        </w:rPr>
        <w:t xml:space="preserve">[2] </w:t>
      </w:r>
      <w:r w:rsidRPr="00871F87">
        <w:rPr>
          <w:rFonts w:cs="Times New Roman"/>
          <w:noProof/>
        </w:rPr>
        <w:tab/>
        <w:t xml:space="preserve">F. HOFFMANN-LA ROCHE LTD. </w:t>
      </w:r>
      <w:r w:rsidRPr="00871F87">
        <w:rPr>
          <w:rFonts w:cs="Times New Roman"/>
          <w:i/>
          <w:iCs/>
          <w:noProof/>
        </w:rPr>
        <w:t>Contivue® Summary of Safety and Clinical Performance Report, SSCP Model Document Version 2.0; 06-Sep-2024</w:t>
      </w:r>
      <w:r w:rsidRPr="00871F87">
        <w:rPr>
          <w:rFonts w:cs="Times New Roman"/>
          <w:noProof/>
        </w:rPr>
        <w:t>. 2024</w:t>
      </w:r>
    </w:p>
    <w:p w14:paraId="5B7C2409" w14:textId="77777777" w:rsidR="00871F87" w:rsidRPr="00871F87" w:rsidRDefault="00871F87" w:rsidP="00871F87">
      <w:pPr>
        <w:widowControl w:val="0"/>
        <w:autoSpaceDE w:val="0"/>
        <w:autoSpaceDN w:val="0"/>
        <w:adjustRightInd w:val="0"/>
        <w:ind w:left="640" w:hanging="640"/>
        <w:rPr>
          <w:rFonts w:cs="Times New Roman"/>
          <w:noProof/>
        </w:rPr>
      </w:pPr>
      <w:r w:rsidRPr="00871F87">
        <w:rPr>
          <w:rFonts w:cs="Times New Roman"/>
          <w:noProof/>
        </w:rPr>
        <w:t xml:space="preserve">[3] </w:t>
      </w:r>
      <w:r w:rsidRPr="00871F87">
        <w:rPr>
          <w:rFonts w:cs="Times New Roman"/>
          <w:noProof/>
        </w:rPr>
        <w:tab/>
        <w:t xml:space="preserve">CARLÀ, Matteo Mario, Maria Cristina SAVASTANO, Francesco BOSELLI, Federico GIANNUZZI a Stanislao RIZZO. Ranibizumab Port Delivery System in Neovascular Age-Related Macular Degeneration: Where Do We Stand? Overview of Pharmacokinetics, Clinical Results, and Future Directions. </w:t>
      </w:r>
      <w:r w:rsidRPr="00871F87">
        <w:rPr>
          <w:rFonts w:cs="Times New Roman"/>
          <w:i/>
          <w:iCs/>
          <w:noProof/>
        </w:rPr>
        <w:t>Pharmaceutics</w:t>
      </w:r>
      <w:r w:rsidRPr="00871F87">
        <w:rPr>
          <w:rFonts w:cs="Times New Roman"/>
          <w:noProof/>
        </w:rPr>
        <w:t xml:space="preserve"> [online]. 2024, </w:t>
      </w:r>
      <w:r w:rsidRPr="00871F87">
        <w:rPr>
          <w:rFonts w:cs="Times New Roman"/>
          <w:b/>
          <w:bCs/>
          <w:noProof/>
        </w:rPr>
        <w:t>16</w:t>
      </w:r>
      <w:r w:rsidRPr="00871F87">
        <w:rPr>
          <w:rFonts w:cs="Times New Roman"/>
          <w:noProof/>
        </w:rPr>
        <w:t>(3) [vid. 2026-05-04]. ISSN 1999-4923. Dostupné z: doi:10.3390/PHARMACEUTICS16030314</w:t>
      </w:r>
    </w:p>
    <w:p w14:paraId="447F4982" w14:textId="77777777" w:rsidR="00871F87" w:rsidRPr="00871F87" w:rsidRDefault="00871F87" w:rsidP="00871F87">
      <w:pPr>
        <w:widowControl w:val="0"/>
        <w:autoSpaceDE w:val="0"/>
        <w:autoSpaceDN w:val="0"/>
        <w:adjustRightInd w:val="0"/>
        <w:ind w:left="640" w:hanging="640"/>
        <w:rPr>
          <w:rFonts w:cs="Times New Roman"/>
          <w:noProof/>
        </w:rPr>
      </w:pPr>
      <w:r w:rsidRPr="00871F87">
        <w:rPr>
          <w:rFonts w:cs="Times New Roman"/>
          <w:noProof/>
        </w:rPr>
        <w:t xml:space="preserve">[4] </w:t>
      </w:r>
      <w:r w:rsidRPr="00871F87">
        <w:rPr>
          <w:rFonts w:cs="Times New Roman"/>
          <w:noProof/>
        </w:rPr>
        <w:tab/>
        <w:t xml:space="preserve">F. HOFFMANN-LA ROCHE LTD. </w:t>
      </w:r>
      <w:r w:rsidRPr="00871F87">
        <w:rPr>
          <w:rFonts w:cs="Times New Roman"/>
          <w:i/>
          <w:iCs/>
          <w:noProof/>
        </w:rPr>
        <w:t>TEC-0210835: Appendix A: Master IFU for EU/ROW Initial fill and Insertion Procedure – Manuscript</w:t>
      </w:r>
      <w:r w:rsidRPr="00871F87">
        <w:rPr>
          <w:rFonts w:cs="Times New Roman"/>
          <w:noProof/>
        </w:rPr>
        <w:t>. 2025</w:t>
      </w:r>
    </w:p>
    <w:p w14:paraId="6233CAB4" w14:textId="77777777" w:rsidR="00871F87" w:rsidRPr="00871F87" w:rsidRDefault="00871F87" w:rsidP="00871F87">
      <w:pPr>
        <w:widowControl w:val="0"/>
        <w:autoSpaceDE w:val="0"/>
        <w:autoSpaceDN w:val="0"/>
        <w:adjustRightInd w:val="0"/>
        <w:ind w:left="640" w:hanging="640"/>
        <w:rPr>
          <w:rFonts w:cs="Times New Roman"/>
          <w:noProof/>
        </w:rPr>
      </w:pPr>
      <w:r w:rsidRPr="00871F87">
        <w:rPr>
          <w:rFonts w:cs="Times New Roman"/>
          <w:noProof/>
        </w:rPr>
        <w:t xml:space="preserve">[5] </w:t>
      </w:r>
      <w:r w:rsidRPr="00871F87">
        <w:rPr>
          <w:rFonts w:cs="Times New Roman"/>
          <w:noProof/>
        </w:rPr>
        <w:tab/>
        <w:t xml:space="preserve">KÅGEDAL, Matts, Oskar ALSKÄR, Klas PETERSSON, Eva HANZE, Mauricio MAIA, Tong LU, Shweta VAKHAVKAR, Angelica QUARTINO, Jeffrey R. WILLIS, Jin Y. JIN a Katie F. MAASS. Population Pharmacokinetics of Ranibizumab Delivered via the Port Delivery System Implanted in the Eye in Patients with Neovascular Age-Related Macular Degeneration. </w:t>
      </w:r>
      <w:r w:rsidRPr="00871F87">
        <w:rPr>
          <w:rFonts w:cs="Times New Roman"/>
          <w:i/>
          <w:iCs/>
          <w:noProof/>
        </w:rPr>
        <w:t>Journal of clinical pharmacology</w:t>
      </w:r>
      <w:r w:rsidRPr="00871F87">
        <w:rPr>
          <w:rFonts w:cs="Times New Roman"/>
          <w:noProof/>
        </w:rPr>
        <w:t xml:space="preserve"> [online]. 2023, </w:t>
      </w:r>
      <w:r w:rsidRPr="00871F87">
        <w:rPr>
          <w:rFonts w:cs="Times New Roman"/>
          <w:b/>
          <w:bCs/>
          <w:noProof/>
        </w:rPr>
        <w:t>63</w:t>
      </w:r>
      <w:r w:rsidRPr="00871F87">
        <w:rPr>
          <w:rFonts w:cs="Times New Roman"/>
          <w:noProof/>
        </w:rPr>
        <w:t>(11), 1210–1220 [vid. 2026-05-04]. ISSN 1552-4604. Dostupné z: doi:10.1002/JCPH.2290</w:t>
      </w:r>
    </w:p>
    <w:p w14:paraId="77F44A5B" w14:textId="77777777" w:rsidR="00871F87" w:rsidRPr="00871F87" w:rsidRDefault="00871F87" w:rsidP="00871F87">
      <w:pPr>
        <w:widowControl w:val="0"/>
        <w:autoSpaceDE w:val="0"/>
        <w:autoSpaceDN w:val="0"/>
        <w:adjustRightInd w:val="0"/>
        <w:ind w:left="640" w:hanging="640"/>
        <w:rPr>
          <w:rFonts w:cs="Times New Roman"/>
          <w:noProof/>
        </w:rPr>
      </w:pPr>
      <w:r w:rsidRPr="00871F87">
        <w:rPr>
          <w:rFonts w:cs="Times New Roman"/>
          <w:noProof/>
        </w:rPr>
        <w:t xml:space="preserve">[6] </w:t>
      </w:r>
      <w:r w:rsidRPr="00871F87">
        <w:rPr>
          <w:rFonts w:cs="Times New Roman"/>
          <w:noProof/>
        </w:rPr>
        <w:tab/>
        <w:t xml:space="preserve">REGILLO, Carl, Brian BERGER, Logan BROOKS, W. Lloyd CLARK, Robert MITTRA, Charles C. WYKOFF, Natalia F. CALLAWAY, Stephanie DEGRAAF, Han Ting DING, Anne E. FUNG, Shamika GUNE, Sophie LE POGAM, Robert SMITH, Jeffrey R. WILLIS a Giulio BARTESELLI. Archway Phase 3 Trial of the Port Delivery System with Ranibizumab for Neovascular Age-Related Macular Degeneration 2-Year Results. </w:t>
      </w:r>
      <w:r w:rsidRPr="00871F87">
        <w:rPr>
          <w:rFonts w:cs="Times New Roman"/>
          <w:i/>
          <w:iCs/>
          <w:noProof/>
        </w:rPr>
        <w:t>Ophthalmology</w:t>
      </w:r>
      <w:r w:rsidRPr="00871F87">
        <w:rPr>
          <w:rFonts w:cs="Times New Roman"/>
          <w:noProof/>
        </w:rPr>
        <w:t xml:space="preserve"> [online]. 2023, </w:t>
      </w:r>
      <w:r w:rsidRPr="00871F87">
        <w:rPr>
          <w:rFonts w:cs="Times New Roman"/>
          <w:b/>
          <w:bCs/>
          <w:noProof/>
        </w:rPr>
        <w:t>130</w:t>
      </w:r>
      <w:r w:rsidRPr="00871F87">
        <w:rPr>
          <w:rFonts w:cs="Times New Roman"/>
          <w:noProof/>
        </w:rPr>
        <w:t xml:space="preserve">(7), 735–747 [vid. 2026-05-04]. ISSN 15494713. </w:t>
      </w:r>
      <w:r w:rsidRPr="00871F87">
        <w:rPr>
          <w:rFonts w:cs="Times New Roman"/>
          <w:noProof/>
        </w:rPr>
        <w:lastRenderedPageBreak/>
        <w:t>Dostupné z: doi:10.1016/j.ophtha.2023.02.024</w:t>
      </w:r>
    </w:p>
    <w:p w14:paraId="71D585A2" w14:textId="77777777" w:rsidR="00871F87" w:rsidRPr="00871F87" w:rsidRDefault="00871F87" w:rsidP="00871F87">
      <w:pPr>
        <w:widowControl w:val="0"/>
        <w:autoSpaceDE w:val="0"/>
        <w:autoSpaceDN w:val="0"/>
        <w:adjustRightInd w:val="0"/>
        <w:ind w:left="640" w:hanging="640"/>
        <w:rPr>
          <w:rFonts w:cs="Times New Roman"/>
          <w:noProof/>
        </w:rPr>
      </w:pPr>
      <w:r w:rsidRPr="00871F87">
        <w:rPr>
          <w:rFonts w:cs="Times New Roman"/>
          <w:noProof/>
        </w:rPr>
        <w:t xml:space="preserve">[7] </w:t>
      </w:r>
      <w:r w:rsidRPr="00871F87">
        <w:rPr>
          <w:rFonts w:cs="Times New Roman"/>
          <w:noProof/>
        </w:rPr>
        <w:tab/>
        <w:t xml:space="preserve">HOLEKAMP, Nancy M., Peter A. CAMPOCHIARO, Margaret A. CHANG, Daniel MILLER, Dante PIERAMICI, Anthony P. ADAMIS, Christopher BRITTAIN, Erica EVANS, Derrick KAUFMAN, Katie F. MAASS, Shienal PATEL, Shrirang RANADE, Natasha SINGH, Giulio BARTESELLI a Carl REGILLO. Archway Randomized Phase 3 Trial of the Port Delivery System with Ranibizumab for Neovascular Age-Related Macular Degeneration. </w:t>
      </w:r>
      <w:r w:rsidRPr="00871F87">
        <w:rPr>
          <w:rFonts w:cs="Times New Roman"/>
          <w:i/>
          <w:iCs/>
          <w:noProof/>
        </w:rPr>
        <w:t>Ophthalmology</w:t>
      </w:r>
      <w:r w:rsidRPr="00871F87">
        <w:rPr>
          <w:rFonts w:cs="Times New Roman"/>
          <w:noProof/>
        </w:rPr>
        <w:t xml:space="preserve"> [online]. 2022, </w:t>
      </w:r>
      <w:r w:rsidRPr="00871F87">
        <w:rPr>
          <w:rFonts w:cs="Times New Roman"/>
          <w:b/>
          <w:bCs/>
          <w:noProof/>
        </w:rPr>
        <w:t>129</w:t>
      </w:r>
      <w:r w:rsidRPr="00871F87">
        <w:rPr>
          <w:rFonts w:cs="Times New Roman"/>
          <w:noProof/>
        </w:rPr>
        <w:t>(3), 295–307 [vid. 2026-05-04]. ISSN 15494713. Dostupné z: doi:10.1016/j.ophtha.2021.09.016</w:t>
      </w:r>
    </w:p>
    <w:p w14:paraId="27748C5E" w14:textId="77777777" w:rsidR="00871F87" w:rsidRPr="00871F87" w:rsidRDefault="00871F87" w:rsidP="00871F87">
      <w:pPr>
        <w:widowControl w:val="0"/>
        <w:autoSpaceDE w:val="0"/>
        <w:autoSpaceDN w:val="0"/>
        <w:adjustRightInd w:val="0"/>
        <w:ind w:left="640" w:hanging="640"/>
        <w:rPr>
          <w:rFonts w:cs="Times New Roman"/>
          <w:noProof/>
        </w:rPr>
      </w:pPr>
      <w:r w:rsidRPr="00871F87">
        <w:rPr>
          <w:rFonts w:cs="Times New Roman"/>
          <w:noProof/>
        </w:rPr>
        <w:t xml:space="preserve">[8] </w:t>
      </w:r>
      <w:r w:rsidRPr="00871F87">
        <w:rPr>
          <w:rFonts w:cs="Times New Roman"/>
          <w:noProof/>
        </w:rPr>
        <w:tab/>
        <w:t>CIULLA, Thomas A., Rehan M. HUSSAIN, John S. POLLACK a David F. WILLIAMS. Visual Acuity Outcomes and Anti–Vascular Endothelial Growth Factor Therapy Intensity in Neovascular Age-Related Macular Degeneration Patients: A Real-World Analysis of 49</w:t>
      </w:r>
      <w:r w:rsidRPr="00871F87">
        <w:rPr>
          <w:rFonts w:ascii="Times New Roman" w:hAnsi="Times New Roman" w:cs="Times New Roman"/>
          <w:noProof/>
        </w:rPr>
        <w:t> </w:t>
      </w:r>
      <w:r w:rsidRPr="00871F87">
        <w:rPr>
          <w:rFonts w:cs="Times New Roman"/>
          <w:noProof/>
        </w:rPr>
        <w:t xml:space="preserve">485 Eyes. </w:t>
      </w:r>
      <w:r w:rsidRPr="00871F87">
        <w:rPr>
          <w:rFonts w:cs="Times New Roman"/>
          <w:i/>
          <w:iCs/>
          <w:noProof/>
        </w:rPr>
        <w:t>Ophthalmology Retina</w:t>
      </w:r>
      <w:r w:rsidRPr="00871F87">
        <w:rPr>
          <w:rFonts w:cs="Times New Roman"/>
          <w:noProof/>
        </w:rPr>
        <w:t xml:space="preserve"> [online]. 2020, </w:t>
      </w:r>
      <w:r w:rsidRPr="00871F87">
        <w:rPr>
          <w:rFonts w:cs="Times New Roman"/>
          <w:b/>
          <w:bCs/>
          <w:noProof/>
        </w:rPr>
        <w:t>4</w:t>
      </w:r>
      <w:r w:rsidRPr="00871F87">
        <w:rPr>
          <w:rFonts w:cs="Times New Roman"/>
          <w:noProof/>
        </w:rPr>
        <w:t>(1), 19–30 [vid. 2026-05-04]. ISSN 24686530. Dostupné z: doi:10.1016/j.oret.2019.05.017</w:t>
      </w:r>
    </w:p>
    <w:p w14:paraId="3D39B702" w14:textId="77777777" w:rsidR="00871F87" w:rsidRPr="00871F87" w:rsidRDefault="00871F87" w:rsidP="00871F87">
      <w:pPr>
        <w:widowControl w:val="0"/>
        <w:autoSpaceDE w:val="0"/>
        <w:autoSpaceDN w:val="0"/>
        <w:adjustRightInd w:val="0"/>
        <w:ind w:left="640" w:hanging="640"/>
        <w:rPr>
          <w:rFonts w:cs="Times New Roman"/>
          <w:noProof/>
        </w:rPr>
      </w:pPr>
      <w:r w:rsidRPr="00871F87">
        <w:rPr>
          <w:rFonts w:cs="Times New Roman"/>
          <w:noProof/>
        </w:rPr>
        <w:t xml:space="preserve">[9] </w:t>
      </w:r>
      <w:r w:rsidRPr="00871F87">
        <w:rPr>
          <w:rFonts w:cs="Times New Roman"/>
          <w:noProof/>
        </w:rPr>
        <w:tab/>
        <w:t xml:space="preserve">KÅGEDAL, Matts, Oskar ALSKÄR, Klas PETERSSON, Eva HANZE, Mauricio MAIA, Tong LU, Shweta VAKHAVKAR, Angelica QUARTINO, Jeffrey R. WILLIS, Jin Y. JIN a Katie F. MAASS. Population Pharmacokinetics of Ranibizumab Delivered via the Port Delivery System Implanted in the Eye in Patients with Neovascular Age-Related Macular Degeneration. </w:t>
      </w:r>
      <w:r w:rsidRPr="00871F87">
        <w:rPr>
          <w:rFonts w:cs="Times New Roman"/>
          <w:i/>
          <w:iCs/>
          <w:noProof/>
        </w:rPr>
        <w:t>The Journal of Clinical Pharmacology</w:t>
      </w:r>
      <w:r w:rsidRPr="00871F87">
        <w:rPr>
          <w:rFonts w:cs="Times New Roman"/>
          <w:noProof/>
        </w:rPr>
        <w:t xml:space="preserve"> [online]. 2023, </w:t>
      </w:r>
      <w:r w:rsidRPr="00871F87">
        <w:rPr>
          <w:rFonts w:cs="Times New Roman"/>
          <w:b/>
          <w:bCs/>
          <w:noProof/>
        </w:rPr>
        <w:t>63</w:t>
      </w:r>
      <w:r w:rsidRPr="00871F87">
        <w:rPr>
          <w:rFonts w:cs="Times New Roman"/>
          <w:noProof/>
        </w:rPr>
        <w:t>(11), 1210–1220 [vid. 2026-04-16]. ISSN 1552-4604. Dostupné z: doi:10.1002/JCPH.2290</w:t>
      </w:r>
    </w:p>
    <w:p w14:paraId="6A2E9ECA" w14:textId="77777777" w:rsidR="00871F87" w:rsidRPr="00871F87" w:rsidRDefault="00871F87" w:rsidP="00871F87">
      <w:pPr>
        <w:widowControl w:val="0"/>
        <w:autoSpaceDE w:val="0"/>
        <w:autoSpaceDN w:val="0"/>
        <w:adjustRightInd w:val="0"/>
        <w:ind w:left="640" w:hanging="640"/>
        <w:rPr>
          <w:rFonts w:cs="Times New Roman"/>
          <w:noProof/>
        </w:rPr>
      </w:pPr>
      <w:r w:rsidRPr="00871F87">
        <w:rPr>
          <w:rFonts w:cs="Times New Roman"/>
          <w:noProof/>
        </w:rPr>
        <w:t xml:space="preserve">[10] </w:t>
      </w:r>
      <w:r w:rsidRPr="00871F87">
        <w:rPr>
          <w:rFonts w:cs="Times New Roman"/>
          <w:noProof/>
        </w:rPr>
        <w:tab/>
        <w:t xml:space="preserve">BROWN, David M., Peter K. KAISER, Mark MICHELS, Gisele SOUBRANE, Jeffrey S. HEIER, Robert Y. KIM, Judy P. SY a Susan SCHNEIDER. Ranibizumab versus verteporfin for neovascular age-related macular degeneration. </w:t>
      </w:r>
      <w:r w:rsidRPr="00871F87">
        <w:rPr>
          <w:rFonts w:cs="Times New Roman"/>
          <w:i/>
          <w:iCs/>
          <w:noProof/>
        </w:rPr>
        <w:t>The New England journal of medicine</w:t>
      </w:r>
      <w:r w:rsidRPr="00871F87">
        <w:rPr>
          <w:rFonts w:cs="Times New Roman"/>
          <w:noProof/>
        </w:rPr>
        <w:t xml:space="preserve"> [online]. 2006, </w:t>
      </w:r>
      <w:r w:rsidRPr="00871F87">
        <w:rPr>
          <w:rFonts w:cs="Times New Roman"/>
          <w:b/>
          <w:bCs/>
          <w:noProof/>
        </w:rPr>
        <w:t>355</w:t>
      </w:r>
      <w:r w:rsidRPr="00871F87">
        <w:rPr>
          <w:rFonts w:cs="Times New Roman"/>
          <w:noProof/>
        </w:rPr>
        <w:t>(14), 1432–1444 [vid. 2026-04-16]. ISSN 1533-4406. Dostupné z: doi:10.1056/NEJMOA062655</w:t>
      </w:r>
    </w:p>
    <w:p w14:paraId="198EAE23" w14:textId="77777777" w:rsidR="00871F87" w:rsidRPr="00871F87" w:rsidRDefault="00871F87" w:rsidP="00871F87">
      <w:pPr>
        <w:widowControl w:val="0"/>
        <w:autoSpaceDE w:val="0"/>
        <w:autoSpaceDN w:val="0"/>
        <w:adjustRightInd w:val="0"/>
        <w:ind w:left="640" w:hanging="640"/>
        <w:rPr>
          <w:rFonts w:cs="Times New Roman"/>
          <w:noProof/>
        </w:rPr>
      </w:pPr>
      <w:r w:rsidRPr="00871F87">
        <w:rPr>
          <w:rFonts w:cs="Times New Roman"/>
          <w:noProof/>
        </w:rPr>
        <w:t xml:space="preserve">[11] </w:t>
      </w:r>
      <w:r w:rsidRPr="00871F87">
        <w:rPr>
          <w:rFonts w:cs="Times New Roman"/>
          <w:noProof/>
        </w:rPr>
        <w:tab/>
        <w:t xml:space="preserve">KHANANI, Arshad M., Aamir A. AZIZ, Hannah KHAN, Ashwin GUPTA, Ohidul MOJUMDER, Aigerim SAULEBAYEVA, Ashkan M. ABBEY, David R.P. ALMEIDA, Robert L. AVERY, Himanshu K. BANDA, Mark R. BARAKAT, Ramanath BHANDARI, Emmanuel Y. CHANG, Sara J. HAUG, Nikolas J.S. LONDON, Luke MEIN, Veeral S. SHETH, Jeremy D. WOLFE, Michael A. SINGER a Carl J. DANZIG. The real-world efficacy and safety of faricimab in neovascular age-related macular degeneration: the TRUCKEE study – 6 month results. </w:t>
      </w:r>
      <w:r w:rsidRPr="00871F87">
        <w:rPr>
          <w:rFonts w:cs="Times New Roman"/>
          <w:i/>
          <w:iCs/>
          <w:noProof/>
        </w:rPr>
        <w:t>Eye</w:t>
      </w:r>
      <w:r w:rsidRPr="00871F87">
        <w:rPr>
          <w:rFonts w:cs="Times New Roman"/>
          <w:noProof/>
        </w:rPr>
        <w:t xml:space="preserve"> [online]. 2023, </w:t>
      </w:r>
      <w:r w:rsidRPr="00871F87">
        <w:rPr>
          <w:rFonts w:cs="Times New Roman"/>
          <w:b/>
          <w:bCs/>
          <w:noProof/>
        </w:rPr>
        <w:t>37</w:t>
      </w:r>
      <w:r w:rsidRPr="00871F87">
        <w:rPr>
          <w:rFonts w:cs="Times New Roman"/>
          <w:noProof/>
        </w:rPr>
        <w:t>(17), 3574 [vid. 2026-04-16]. ISSN 14765454. Dostupné z: doi:10.1038/S41433-023-02553-5</w:t>
      </w:r>
    </w:p>
    <w:p w14:paraId="11BB26C5" w14:textId="77777777" w:rsidR="00871F87" w:rsidRPr="00871F87" w:rsidRDefault="00871F87" w:rsidP="00871F87">
      <w:pPr>
        <w:widowControl w:val="0"/>
        <w:autoSpaceDE w:val="0"/>
        <w:autoSpaceDN w:val="0"/>
        <w:adjustRightInd w:val="0"/>
        <w:ind w:left="640" w:hanging="640"/>
        <w:rPr>
          <w:rFonts w:cs="Times New Roman"/>
          <w:noProof/>
        </w:rPr>
      </w:pPr>
      <w:r w:rsidRPr="00871F87">
        <w:rPr>
          <w:rFonts w:cs="Times New Roman"/>
          <w:noProof/>
        </w:rPr>
        <w:t xml:space="preserve">[12] </w:t>
      </w:r>
      <w:r w:rsidRPr="00871F87">
        <w:rPr>
          <w:rFonts w:cs="Times New Roman"/>
          <w:noProof/>
        </w:rPr>
        <w:tab/>
        <w:t xml:space="preserve">KHANANI, Arshad M., Peter A. CAMPOCHIARO, Jordan M. GRAFF, Dennis M. MARCUS, Daniel MILLER, Robert A. MITTRA, Carl REGILLO, Veeral S. SHETH, Ashwini BOBBALA, Shamika GUNE, Stephanie LIN, Carlos QUEZADA-RUIZ a Varun MALHOTRA. Continuous Ranibizumab via Port Delivery System vs Monthly Ranibizumab for Treatment of Diabetic Macular Edema: The Pagoda Randomized Clinical Trial. </w:t>
      </w:r>
      <w:r w:rsidRPr="00871F87">
        <w:rPr>
          <w:rFonts w:cs="Times New Roman"/>
          <w:i/>
          <w:iCs/>
          <w:noProof/>
        </w:rPr>
        <w:t>JAMA Ophthalmology</w:t>
      </w:r>
      <w:r w:rsidRPr="00871F87">
        <w:rPr>
          <w:rFonts w:cs="Times New Roman"/>
          <w:noProof/>
        </w:rPr>
        <w:t xml:space="preserve"> [online]. 2025, </w:t>
      </w:r>
      <w:r w:rsidRPr="00871F87">
        <w:rPr>
          <w:rFonts w:cs="Times New Roman"/>
          <w:b/>
          <w:bCs/>
          <w:noProof/>
        </w:rPr>
        <w:t>143</w:t>
      </w:r>
      <w:r w:rsidRPr="00871F87">
        <w:rPr>
          <w:rFonts w:cs="Times New Roman"/>
          <w:noProof/>
        </w:rPr>
        <w:t>(4), 326–335 [vid. 2026-05-04]. ISSN 2168-6165. Dostupné z: doi:10.1001/JAMAOPHTHALMOL.2025.0006</w:t>
      </w:r>
    </w:p>
    <w:p w14:paraId="53CB13EE" w14:textId="77777777" w:rsidR="00871F87" w:rsidRPr="00871F87" w:rsidRDefault="00871F87" w:rsidP="00871F87">
      <w:pPr>
        <w:widowControl w:val="0"/>
        <w:autoSpaceDE w:val="0"/>
        <w:autoSpaceDN w:val="0"/>
        <w:adjustRightInd w:val="0"/>
        <w:ind w:left="640" w:hanging="640"/>
        <w:rPr>
          <w:rFonts w:cs="Times New Roman"/>
          <w:noProof/>
        </w:rPr>
      </w:pPr>
      <w:r w:rsidRPr="00871F87">
        <w:rPr>
          <w:rFonts w:cs="Times New Roman"/>
          <w:noProof/>
        </w:rPr>
        <w:t xml:space="preserve">[13] </w:t>
      </w:r>
      <w:r w:rsidRPr="00871F87">
        <w:rPr>
          <w:rFonts w:cs="Times New Roman"/>
          <w:noProof/>
        </w:rPr>
        <w:tab/>
        <w:t xml:space="preserve">PARAMITHA, Dewa Ayu Anggi, Ajeng Kartika Ayu PUTRI, Seruni Hanna ARDHIA a Jovita JUTAMULIA. Reducing Treatment Burden for Age-Related Macular Degeneration Patients: A Systematic Review of Ranibizumab Port Delivery System: Oral Presentation - Observational Study - General practitioner. </w:t>
      </w:r>
      <w:r w:rsidRPr="00871F87">
        <w:rPr>
          <w:rFonts w:cs="Times New Roman"/>
          <w:i/>
          <w:iCs/>
          <w:noProof/>
        </w:rPr>
        <w:t>Ophthalmologica Indonesiana</w:t>
      </w:r>
      <w:r w:rsidRPr="00871F87">
        <w:rPr>
          <w:rFonts w:cs="Times New Roman"/>
          <w:noProof/>
        </w:rPr>
        <w:t xml:space="preserve"> [online]. 2023, </w:t>
      </w:r>
      <w:r w:rsidRPr="00871F87">
        <w:rPr>
          <w:rFonts w:cs="Times New Roman"/>
          <w:b/>
          <w:bCs/>
          <w:noProof/>
        </w:rPr>
        <w:t>49</w:t>
      </w:r>
      <w:r w:rsidRPr="00871F87">
        <w:rPr>
          <w:rFonts w:cs="Times New Roman"/>
          <w:noProof/>
        </w:rPr>
        <w:t xml:space="preserve">(S2) [vid. 2026-05-04]. ISSN 2460-545X. Dostupné </w:t>
      </w:r>
      <w:r w:rsidRPr="00871F87">
        <w:rPr>
          <w:rFonts w:cs="Times New Roman"/>
          <w:noProof/>
        </w:rPr>
        <w:lastRenderedPageBreak/>
        <w:t>z: doi:10.35749/V8VMP587</w:t>
      </w:r>
    </w:p>
    <w:p w14:paraId="30C86C6D" w14:textId="77777777" w:rsidR="00871F87" w:rsidRPr="00871F87" w:rsidRDefault="00871F87" w:rsidP="00871F87">
      <w:pPr>
        <w:widowControl w:val="0"/>
        <w:autoSpaceDE w:val="0"/>
        <w:autoSpaceDN w:val="0"/>
        <w:adjustRightInd w:val="0"/>
        <w:ind w:left="640" w:hanging="640"/>
        <w:rPr>
          <w:rFonts w:cs="Times New Roman"/>
          <w:noProof/>
        </w:rPr>
      </w:pPr>
      <w:r w:rsidRPr="00871F87">
        <w:rPr>
          <w:rFonts w:cs="Times New Roman"/>
          <w:noProof/>
        </w:rPr>
        <w:t xml:space="preserve">[14] </w:t>
      </w:r>
      <w:r w:rsidRPr="00871F87">
        <w:rPr>
          <w:rFonts w:cs="Times New Roman"/>
          <w:noProof/>
        </w:rPr>
        <w:tab/>
        <w:t xml:space="preserve">CAMPOCHIARO, Peter A., Dennis M. MARCUS, Carl C. AWH, Carl REGILLO, Anthony P. ADAMIS, Vladimir BANTSEEV, Yawen CHIANG, Jason S. EHRLICH, Signe ERICKSON, William D. HANLEY, Joshua HORVATH, Katie F. MAASS, Natasha SINGH, Fan TANG a Giulio BARTESELLI. The Port Delivery System with Ranibizumab for Neovascular Age-Related Macular Degeneration: Results from the Randomized Phase 2 Ladder Clinical Trial. </w:t>
      </w:r>
      <w:r w:rsidRPr="00871F87">
        <w:rPr>
          <w:rFonts w:cs="Times New Roman"/>
          <w:i/>
          <w:iCs/>
          <w:noProof/>
        </w:rPr>
        <w:t>Ophthalmology</w:t>
      </w:r>
      <w:r w:rsidRPr="00871F87">
        <w:rPr>
          <w:rFonts w:cs="Times New Roman"/>
          <w:noProof/>
        </w:rPr>
        <w:t xml:space="preserve"> [online]. 2019, </w:t>
      </w:r>
      <w:r w:rsidRPr="00871F87">
        <w:rPr>
          <w:rFonts w:cs="Times New Roman"/>
          <w:b/>
          <w:bCs/>
          <w:noProof/>
        </w:rPr>
        <w:t>126</w:t>
      </w:r>
      <w:r w:rsidRPr="00871F87">
        <w:rPr>
          <w:rFonts w:cs="Times New Roman"/>
          <w:noProof/>
        </w:rPr>
        <w:t>(8), 1141–1154 [vid. 2026-05-05]. ISSN 15494713. Dostupné z: doi:10.1016/j.ophtha.2019.03.036</w:t>
      </w:r>
    </w:p>
    <w:p w14:paraId="13F458B5" w14:textId="77777777" w:rsidR="00871F87" w:rsidRPr="00871F87" w:rsidRDefault="00871F87" w:rsidP="00871F87">
      <w:pPr>
        <w:widowControl w:val="0"/>
        <w:autoSpaceDE w:val="0"/>
        <w:autoSpaceDN w:val="0"/>
        <w:adjustRightInd w:val="0"/>
        <w:ind w:left="640" w:hanging="640"/>
        <w:rPr>
          <w:rFonts w:cs="Times New Roman"/>
          <w:noProof/>
        </w:rPr>
      </w:pPr>
      <w:r w:rsidRPr="00871F87">
        <w:rPr>
          <w:rFonts w:cs="Times New Roman"/>
          <w:noProof/>
        </w:rPr>
        <w:t xml:space="preserve">[15] </w:t>
      </w:r>
      <w:r w:rsidRPr="00871F87">
        <w:rPr>
          <w:rFonts w:cs="Times New Roman"/>
          <w:noProof/>
        </w:rPr>
        <w:tab/>
        <w:t xml:space="preserve">HOLZ, Frank G., Ramin TADAYONI, Stephen BEATTY, Alan BERGER, Matteo G. CEREDA, Rafael CORTEZ, Carel B. HOYNG, Philip HYKIN, Giovanni STAURENGHI, Stephanie HELDNER, Timon BOGUMIL, Theresa HEAH a Sobha SIVAPRASAD. Multi-country real-life experience of anti-vascular endothelial growth factor therapy for wet age-related macular degeneration. </w:t>
      </w:r>
      <w:r w:rsidRPr="00871F87">
        <w:rPr>
          <w:rFonts w:cs="Times New Roman"/>
          <w:i/>
          <w:iCs/>
          <w:noProof/>
        </w:rPr>
        <w:t>The British journal of ophthalmology</w:t>
      </w:r>
      <w:r w:rsidRPr="00871F87">
        <w:rPr>
          <w:rFonts w:cs="Times New Roman"/>
          <w:noProof/>
        </w:rPr>
        <w:t xml:space="preserve"> [online]. 2015, </w:t>
      </w:r>
      <w:r w:rsidRPr="00871F87">
        <w:rPr>
          <w:rFonts w:cs="Times New Roman"/>
          <w:b/>
          <w:bCs/>
          <w:noProof/>
        </w:rPr>
        <w:t>99</w:t>
      </w:r>
      <w:r w:rsidRPr="00871F87">
        <w:rPr>
          <w:rFonts w:cs="Times New Roman"/>
          <w:noProof/>
        </w:rPr>
        <w:t>(2), 220–226 [vid. 2026-05-04]. ISSN 1468-2079. Dostupné z: doi:10.1136/BJOPHTHALMOL-2014-305327</w:t>
      </w:r>
    </w:p>
    <w:p w14:paraId="1FFBD9B1" w14:textId="77777777" w:rsidR="00871F87" w:rsidRPr="00871F87" w:rsidRDefault="00871F87" w:rsidP="00871F87">
      <w:pPr>
        <w:widowControl w:val="0"/>
        <w:autoSpaceDE w:val="0"/>
        <w:autoSpaceDN w:val="0"/>
        <w:adjustRightInd w:val="0"/>
        <w:ind w:left="640" w:hanging="640"/>
        <w:rPr>
          <w:rFonts w:cs="Times New Roman"/>
          <w:noProof/>
        </w:rPr>
      </w:pPr>
      <w:r w:rsidRPr="00871F87">
        <w:rPr>
          <w:rFonts w:cs="Times New Roman"/>
          <w:noProof/>
        </w:rPr>
        <w:t xml:space="preserve">[16] </w:t>
      </w:r>
      <w:r w:rsidRPr="00871F87">
        <w:rPr>
          <w:rFonts w:cs="Times New Roman"/>
          <w:noProof/>
        </w:rPr>
        <w:tab/>
        <w:t xml:space="preserve">KILANI, Adnan, Abdelrahman ASSAF, Denise VOGT, Efstathios VOUNOTRYPIDIS, Melih PARLAK, Constantin JOCHEM a Armin WOLF. Short-term real-world outcomes of switching to faricimab in anti-VEGF-refractory retinal vein occlusion: a prospective study. </w:t>
      </w:r>
      <w:r w:rsidRPr="00871F87">
        <w:rPr>
          <w:rFonts w:cs="Times New Roman"/>
          <w:i/>
          <w:iCs/>
          <w:noProof/>
        </w:rPr>
        <w:t>BMC ophthalmology</w:t>
      </w:r>
      <w:r w:rsidRPr="00871F87">
        <w:rPr>
          <w:rFonts w:cs="Times New Roman"/>
          <w:noProof/>
        </w:rPr>
        <w:t xml:space="preserve"> [online]. 2026, </w:t>
      </w:r>
      <w:r w:rsidRPr="00871F87">
        <w:rPr>
          <w:rFonts w:cs="Times New Roman"/>
          <w:b/>
          <w:bCs/>
          <w:noProof/>
        </w:rPr>
        <w:t>26</w:t>
      </w:r>
      <w:r w:rsidRPr="00871F87">
        <w:rPr>
          <w:rFonts w:cs="Times New Roman"/>
          <w:noProof/>
        </w:rPr>
        <w:t>(1) [vid. 2026-05-04]. ISSN 1471-2415. Dostupné z: doi:10.1186/S12886-026-04695-Y</w:t>
      </w:r>
    </w:p>
    <w:p w14:paraId="1BDB2F26" w14:textId="77777777" w:rsidR="00871F87" w:rsidRPr="00871F87" w:rsidRDefault="00871F87" w:rsidP="00871F87">
      <w:pPr>
        <w:widowControl w:val="0"/>
        <w:autoSpaceDE w:val="0"/>
        <w:autoSpaceDN w:val="0"/>
        <w:adjustRightInd w:val="0"/>
        <w:ind w:left="640" w:hanging="640"/>
        <w:rPr>
          <w:rFonts w:cs="Times New Roman"/>
          <w:noProof/>
        </w:rPr>
      </w:pPr>
      <w:r w:rsidRPr="00871F87">
        <w:rPr>
          <w:rFonts w:cs="Times New Roman"/>
          <w:noProof/>
        </w:rPr>
        <w:t xml:space="preserve">[17] </w:t>
      </w:r>
      <w:r w:rsidRPr="00871F87">
        <w:rPr>
          <w:rFonts w:cs="Times New Roman"/>
          <w:noProof/>
        </w:rPr>
        <w:tab/>
        <w:t xml:space="preserve">SPOONER, Kimberly L., Cleopatra T. MHLANGA, Thomas H. HONG, Geoffrey K. BROADHEAD a Andrew A. CHANG. The burden of neovascular age-related macular degeneration: a patient’s perspective. </w:t>
      </w:r>
      <w:r w:rsidRPr="00871F87">
        <w:rPr>
          <w:rFonts w:cs="Times New Roman"/>
          <w:i/>
          <w:iCs/>
          <w:noProof/>
        </w:rPr>
        <w:t>Clinical ophthalmology (Auckland, N.Z.)</w:t>
      </w:r>
      <w:r w:rsidRPr="00871F87">
        <w:rPr>
          <w:rFonts w:cs="Times New Roman"/>
          <w:noProof/>
        </w:rPr>
        <w:t xml:space="preserve"> [online]. 2018, </w:t>
      </w:r>
      <w:r w:rsidRPr="00871F87">
        <w:rPr>
          <w:rFonts w:cs="Times New Roman"/>
          <w:b/>
          <w:bCs/>
          <w:noProof/>
        </w:rPr>
        <w:t>12</w:t>
      </w:r>
      <w:r w:rsidRPr="00871F87">
        <w:rPr>
          <w:rFonts w:cs="Times New Roman"/>
          <w:noProof/>
        </w:rPr>
        <w:t>, 2483–2491 [vid. 2026-05-04]. ISSN 1177-5467. Dostupné z: doi:10.2147/OPTH.S185052</w:t>
      </w:r>
    </w:p>
    <w:p w14:paraId="42AC8219" w14:textId="77777777" w:rsidR="00871F87" w:rsidRPr="00871F87" w:rsidRDefault="00871F87" w:rsidP="00871F87">
      <w:pPr>
        <w:widowControl w:val="0"/>
        <w:autoSpaceDE w:val="0"/>
        <w:autoSpaceDN w:val="0"/>
        <w:adjustRightInd w:val="0"/>
        <w:ind w:left="640" w:hanging="640"/>
        <w:rPr>
          <w:rFonts w:cs="Times New Roman"/>
          <w:noProof/>
        </w:rPr>
      </w:pPr>
      <w:r w:rsidRPr="00871F87">
        <w:rPr>
          <w:rFonts w:cs="Times New Roman"/>
          <w:noProof/>
        </w:rPr>
        <w:t xml:space="preserve">[18] </w:t>
      </w:r>
      <w:r w:rsidRPr="00871F87">
        <w:rPr>
          <w:rFonts w:cs="Times New Roman"/>
          <w:noProof/>
        </w:rPr>
        <w:tab/>
        <w:t xml:space="preserve">HIEB, Aaron R., Judit HORVATH, Jennifer REA, Tammy TAM, Debby P. CHANG, Isabella DE JONG, Kai ZHENG, Stefan T. YOHE a Shrirang V. RANADE. Stability of ranibizumab during continuous delivery from the Port Delivery Platform. </w:t>
      </w:r>
      <w:r w:rsidRPr="00871F87">
        <w:rPr>
          <w:rFonts w:cs="Times New Roman"/>
          <w:i/>
          <w:iCs/>
          <w:noProof/>
        </w:rPr>
        <w:t>Journal of Controlled Release</w:t>
      </w:r>
      <w:r w:rsidRPr="00871F87">
        <w:rPr>
          <w:rFonts w:cs="Times New Roman"/>
          <w:noProof/>
        </w:rPr>
        <w:t xml:space="preserve"> [online]. 2024, </w:t>
      </w:r>
      <w:r w:rsidRPr="00871F87">
        <w:rPr>
          <w:rFonts w:cs="Times New Roman"/>
          <w:b/>
          <w:bCs/>
          <w:noProof/>
        </w:rPr>
        <w:t>366</w:t>
      </w:r>
      <w:r w:rsidRPr="00871F87">
        <w:rPr>
          <w:rFonts w:cs="Times New Roman"/>
          <w:noProof/>
        </w:rPr>
        <w:t>, 170–181 [vid. 2026-05-04]. ISSN 18734995. Dostupné z: doi:10.1016/j.jconrel.2023.12.027</w:t>
      </w:r>
    </w:p>
    <w:p w14:paraId="6F07C2E2" w14:textId="77777777" w:rsidR="00871F87" w:rsidRPr="00871F87" w:rsidRDefault="00871F87" w:rsidP="00871F87">
      <w:pPr>
        <w:widowControl w:val="0"/>
        <w:autoSpaceDE w:val="0"/>
        <w:autoSpaceDN w:val="0"/>
        <w:adjustRightInd w:val="0"/>
        <w:ind w:left="640" w:hanging="640"/>
        <w:rPr>
          <w:rFonts w:cs="Times New Roman"/>
          <w:noProof/>
        </w:rPr>
      </w:pPr>
      <w:r w:rsidRPr="00871F87">
        <w:rPr>
          <w:rFonts w:cs="Times New Roman"/>
          <w:noProof/>
        </w:rPr>
        <w:t xml:space="preserve">[19] </w:t>
      </w:r>
      <w:r w:rsidRPr="00871F87">
        <w:rPr>
          <w:rFonts w:cs="Times New Roman"/>
          <w:noProof/>
        </w:rPr>
        <w:tab/>
        <w:t xml:space="preserve">CHUNG, Sook H., Sonia L. FRICK a Glenn YIU. Targeting vascular endothelial growth factor using retinal gene therapy. </w:t>
      </w:r>
      <w:r w:rsidRPr="00871F87">
        <w:rPr>
          <w:rFonts w:cs="Times New Roman"/>
          <w:i/>
          <w:iCs/>
          <w:noProof/>
        </w:rPr>
        <w:t>Annals of Translational Medicine</w:t>
      </w:r>
      <w:r w:rsidRPr="00871F87">
        <w:rPr>
          <w:rFonts w:cs="Times New Roman"/>
          <w:noProof/>
        </w:rPr>
        <w:t xml:space="preserve"> [online]. 2021, </w:t>
      </w:r>
      <w:r w:rsidRPr="00871F87">
        <w:rPr>
          <w:rFonts w:cs="Times New Roman"/>
          <w:b/>
          <w:bCs/>
          <w:noProof/>
        </w:rPr>
        <w:t>9</w:t>
      </w:r>
      <w:r w:rsidRPr="00871F87">
        <w:rPr>
          <w:rFonts w:cs="Times New Roman"/>
          <w:noProof/>
        </w:rPr>
        <w:t>(15), 1277 [vid. 2026-05-04]. ISSN 23055839. Dostupné z: doi:10.21037/ATM-20-4417</w:t>
      </w:r>
    </w:p>
    <w:p w14:paraId="17CC5516" w14:textId="77777777" w:rsidR="00871F87" w:rsidRPr="00871F87" w:rsidRDefault="00871F87" w:rsidP="00871F87">
      <w:pPr>
        <w:widowControl w:val="0"/>
        <w:autoSpaceDE w:val="0"/>
        <w:autoSpaceDN w:val="0"/>
        <w:adjustRightInd w:val="0"/>
        <w:ind w:left="640" w:hanging="640"/>
        <w:rPr>
          <w:noProof/>
        </w:rPr>
      </w:pPr>
      <w:r w:rsidRPr="00871F87">
        <w:rPr>
          <w:rFonts w:cs="Times New Roman"/>
          <w:noProof/>
        </w:rPr>
        <w:t xml:space="preserve">[20] </w:t>
      </w:r>
      <w:r w:rsidRPr="00871F87">
        <w:rPr>
          <w:rFonts w:cs="Times New Roman"/>
          <w:noProof/>
        </w:rPr>
        <w:tab/>
        <w:t xml:space="preserve">SHARMA, Ashish, Nikulaa PARACHURI, Nilesh KUMAR, Baruch D. KUPPERMANN, Francesco BANDELLO a Carl D. REGILLO. The port delivery system with ranibizumab: understanding nuances for clinical use in the real world. </w:t>
      </w:r>
      <w:r w:rsidRPr="00871F87">
        <w:rPr>
          <w:rFonts w:cs="Times New Roman"/>
          <w:i/>
          <w:iCs/>
          <w:noProof/>
        </w:rPr>
        <w:t>Expert opinion on biological therapy</w:t>
      </w:r>
      <w:r w:rsidRPr="00871F87">
        <w:rPr>
          <w:rFonts w:cs="Times New Roman"/>
          <w:noProof/>
        </w:rPr>
        <w:t xml:space="preserve"> [online]. 2022, </w:t>
      </w:r>
      <w:r w:rsidRPr="00871F87">
        <w:rPr>
          <w:rFonts w:cs="Times New Roman"/>
          <w:b/>
          <w:bCs/>
          <w:noProof/>
        </w:rPr>
        <w:t>22</w:t>
      </w:r>
      <w:r w:rsidRPr="00871F87">
        <w:rPr>
          <w:rFonts w:cs="Times New Roman"/>
          <w:noProof/>
        </w:rPr>
        <w:t>(6), 675–677 [vid. 2026-05-04]. ISSN 1744-7682. Dostupné z: doi:10.1080/14712598.2022.2078162</w:t>
      </w:r>
    </w:p>
    <w:p w14:paraId="39893C76" w14:textId="14E8DF92" w:rsidR="00871F87" w:rsidRPr="00871F87" w:rsidRDefault="00871F87" w:rsidP="00871F87">
      <w:r>
        <w:fldChar w:fldCharType="end"/>
      </w:r>
    </w:p>
    <w:p w14:paraId="000000BF" w14:textId="77777777" w:rsidR="006369AE" w:rsidRDefault="006369AE">
      <w:pPr>
        <w:pBdr>
          <w:top w:val="nil"/>
          <w:left w:val="nil"/>
          <w:bottom w:val="nil"/>
          <w:right w:val="nil"/>
          <w:between w:val="nil"/>
        </w:pBdr>
        <w:shd w:val="clear" w:color="auto" w:fill="FFFFFF"/>
        <w:spacing w:before="60" w:after="200"/>
        <w:ind w:firstLine="454"/>
        <w:rPr>
          <w:rFonts w:ascii="Calibri" w:eastAsia="Calibri" w:hAnsi="Calibri" w:cs="Calibri"/>
          <w:color w:val="000000"/>
          <w:sz w:val="24"/>
          <w:szCs w:val="24"/>
        </w:rPr>
      </w:pPr>
    </w:p>
    <w:p w14:paraId="000000C0" w14:textId="77777777" w:rsidR="006369AE" w:rsidRDefault="006369AE">
      <w:pPr>
        <w:pBdr>
          <w:top w:val="nil"/>
          <w:left w:val="nil"/>
          <w:bottom w:val="nil"/>
          <w:right w:val="nil"/>
          <w:between w:val="nil"/>
        </w:pBdr>
        <w:shd w:val="clear" w:color="auto" w:fill="FFFFFF"/>
        <w:spacing w:before="60" w:after="200"/>
        <w:ind w:firstLine="454"/>
        <w:rPr>
          <w:rFonts w:ascii="Calibri" w:eastAsia="Calibri" w:hAnsi="Calibri" w:cs="Calibri"/>
          <w:color w:val="000000"/>
          <w:sz w:val="24"/>
          <w:szCs w:val="24"/>
        </w:rPr>
      </w:pPr>
    </w:p>
    <w:p w14:paraId="000000C1" w14:textId="77777777" w:rsidR="006369AE" w:rsidRDefault="006369AE">
      <w:pPr>
        <w:pBdr>
          <w:top w:val="nil"/>
          <w:left w:val="nil"/>
          <w:bottom w:val="nil"/>
          <w:right w:val="nil"/>
          <w:between w:val="nil"/>
        </w:pBdr>
        <w:shd w:val="clear" w:color="auto" w:fill="FFFFFF"/>
        <w:spacing w:before="60" w:after="200"/>
        <w:ind w:firstLine="454"/>
        <w:rPr>
          <w:rFonts w:ascii="Calibri" w:eastAsia="Calibri" w:hAnsi="Calibri" w:cs="Calibri"/>
          <w:color w:val="000000"/>
          <w:sz w:val="24"/>
          <w:szCs w:val="24"/>
        </w:rPr>
      </w:pPr>
    </w:p>
    <w:sectPr w:rsidR="006369AE">
      <w:pgSz w:w="11906" w:h="16838"/>
      <w:pgMar w:top="1417" w:right="1417" w:bottom="1417" w:left="1417" w:header="708" w:footer="708"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D7A223B" w14:textId="77777777" w:rsidR="003B0DB6" w:rsidRDefault="003B0DB6">
      <w:r>
        <w:separator/>
      </w:r>
    </w:p>
  </w:endnote>
  <w:endnote w:type="continuationSeparator" w:id="0">
    <w:p w14:paraId="63C54192" w14:textId="77777777" w:rsidR="003B0DB6" w:rsidRDefault="003B0DB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panose1 w:val="020B0604020202020204"/>
    <w:charset w:val="00"/>
    <w:family w:val="auto"/>
    <w:pitch w:val="default"/>
  </w:font>
  <w:font w:name="Arial">
    <w:panose1 w:val="020B0604020202020204"/>
    <w:charset w:val="00"/>
    <w:family w:val="swiss"/>
    <w:pitch w:val="variable"/>
    <w:sig w:usb0="E0002EFF" w:usb1="C000785B" w:usb2="00000009" w:usb3="00000000" w:csb0="000001FF" w:csb1="00000000"/>
    <w:embedRegular r:id="rId2" w:fontKey="{CAF6994B-CD63-934B-9A9B-66F29F1B6647}"/>
  </w:font>
  <w:font w:name="Courier New">
    <w:panose1 w:val="02070309020205020404"/>
    <w:charset w:val="00"/>
    <w:family w:val="modern"/>
    <w:pitch w:val="fixed"/>
    <w:sig w:usb0="E0002EFF" w:usb1="C0007843" w:usb2="00000009" w:usb3="00000000" w:csb0="000001FF" w:csb1="00000000"/>
    <w:embedRegular r:id="rId3" w:fontKey="{D97C1A09-59D6-8549-8665-761F7C37940F}"/>
  </w:font>
  <w:font w:name="Avenir">
    <w:panose1 w:val="02000503020000020003"/>
    <w:charset w:val="00"/>
    <w:family w:val="swiss"/>
    <w:pitch w:val="variable"/>
    <w:sig w:usb0="800000AF" w:usb1="5000204A" w:usb2="00000000" w:usb3="00000000" w:csb0="0000009B" w:csb1="00000000"/>
    <w:embedRegular r:id="rId4" w:fontKey="{4169B663-77F0-CB48-871C-C948AD7F5E80}"/>
    <w:embedBold r:id="rId5" w:fontKey="{468BD61E-427F-6B41-ABA5-EE16B7AD3DF0}"/>
    <w:embedItalic r:id="rId6" w:fontKey="{0F54A13C-6F31-9D4B-9ED8-73440DC3163B}"/>
    <w:embedBoldItalic r:id="rId7" w:fontKey="{931413B9-D8AA-A14A-BF5A-738A00DC5381}"/>
  </w:font>
  <w:font w:name="Symbol">
    <w:panose1 w:val="05050102010706020507"/>
    <w:charset w:val="02"/>
    <w:family w:val="decorative"/>
    <w:pitch w:val="variable"/>
    <w:sig w:usb0="00000000" w:usb1="10000000" w:usb2="00000000" w:usb3="00000000" w:csb0="80000000" w:csb1="00000000"/>
    <w:embedRegular r:id="rId8" w:fontKey="{672C72D7-82BD-4844-A4EE-619F3CDE91F0}"/>
  </w:font>
  <w:font w:name="Times New Roman">
    <w:panose1 w:val="02020603050405020304"/>
    <w:charset w:val="00"/>
    <w:family w:val="roman"/>
    <w:pitch w:val="variable"/>
    <w:sig w:usb0="E0002EFF" w:usb1="C000785B" w:usb2="00000009" w:usb3="00000000" w:csb0="000001FF" w:csb1="00000000"/>
    <w:embedRegular r:id="rId9" w:fontKey="{F0A622B9-5E5C-8A47-8800-3F690E63042A}"/>
    <w:embedBold r:id="rId10" w:fontKey="{D39F16E1-D36C-6C45-830B-9E1A42D2D811}"/>
    <w:embedItalic r:id="rId11" w:fontKey="{9F8B34E2-04F6-3649-AF8A-DF8E7B43B0C7}"/>
  </w:font>
  <w:font w:name="Wingdings">
    <w:panose1 w:val="05000000000000000000"/>
    <w:charset w:val="00"/>
    <w:family w:val="decorative"/>
    <w:pitch w:val="variable"/>
    <w:sig w:usb0="00000003" w:usb1="00000000" w:usb2="00000000" w:usb3="00000000" w:csb0="80000001" w:csb1="00000000"/>
    <w:embedRegular r:id="rId12" w:fontKey="{91F2422F-118F-B54A-B146-F0EBB3B599B8}"/>
  </w:font>
  <w:font w:name="Play">
    <w:charset w:val="00"/>
    <w:family w:val="auto"/>
    <w:pitch w:val="default"/>
  </w:font>
  <w:font w:name="Cambria Math">
    <w:panose1 w:val="02040503050406030204"/>
    <w:charset w:val="00"/>
    <w:family w:val="roman"/>
    <w:pitch w:val="variable"/>
    <w:sig w:usb0="E00002FF" w:usb1="420024FF" w:usb2="00000000" w:usb3="00000000" w:csb0="0000019F" w:csb1="00000000"/>
    <w:embedRegular r:id="rId14" w:fontKey="{F5F73F2C-C193-C141-8689-D1280F551705}"/>
  </w:font>
  <w:font w:name="Avenir Book">
    <w:panose1 w:val="02000503020000020003"/>
    <w:charset w:val="00"/>
    <w:family w:val="auto"/>
    <w:pitch w:val="variable"/>
    <w:sig w:usb0="800000AF" w:usb1="5000204A" w:usb2="00000000" w:usb3="00000000" w:csb0="0000009B" w:csb1="00000000"/>
    <w:embedRegular r:id="rId15" w:fontKey="{6379BF8A-2D98-8742-BB6F-6AA847E0C35E}"/>
    <w:embedBold r:id="rId16" w:fontKey="{544B2EF5-3299-834A-9712-B8ED70C4C983}"/>
  </w:font>
  <w:font w:name="Aptos">
    <w:panose1 w:val="020B0004020202020204"/>
    <w:charset w:val="00"/>
    <w:family w:val="swiss"/>
    <w:pitch w:val="variable"/>
    <w:sig w:usb0="20000287" w:usb1="00000003" w:usb2="00000000" w:usb3="00000000" w:csb0="0000019F" w:csb1="00000000"/>
    <w:embedRegular r:id="rId17" w:fontKey="{33157FFE-8456-8C4C-BB0F-5EA668B471F4}"/>
  </w:font>
  <w:font w:name="Avenir Next">
    <w:panose1 w:val="020B0503020202020204"/>
    <w:charset w:val="00"/>
    <w:family w:val="swiss"/>
    <w:pitch w:val="variable"/>
    <w:sig w:usb0="8000002F" w:usb1="5000204A" w:usb2="00000000" w:usb3="00000000" w:csb0="0000009B" w:csb1="00000000"/>
    <w:embedRegular r:id="rId18" w:fontKey="{7D1F65D7-3DFC-FD4F-B9D5-AD471538F9AB}"/>
  </w:font>
  <w:font w:name="Calibri">
    <w:panose1 w:val="020F0502020204030204"/>
    <w:charset w:val="00"/>
    <w:family w:val="swiss"/>
    <w:pitch w:val="variable"/>
    <w:sig w:usb0="E4002EFF" w:usb1="C200247B" w:usb2="00000009" w:usb3="00000000" w:csb0="000001FF" w:csb1="00000000"/>
    <w:embedRegular r:id="rId19" w:fontKey="{CBB81357-4034-CA4C-8FE2-419F13D159DA}"/>
  </w:font>
  <w:font w:name="Cambria">
    <w:panose1 w:val="02040503050406030204"/>
    <w:charset w:val="00"/>
    <w:family w:val="roman"/>
    <w:pitch w:val="variable"/>
    <w:sig w:usb0="E00006FF" w:usb1="420024FF" w:usb2="02000000" w:usb3="00000000" w:csb0="0000019F" w:csb1="00000000"/>
    <w:embedRegular r:id="rId20" w:fontKey="{AE3DF6B2-35E7-6341-A6BF-B66E30BFBEC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C6" w14:textId="77777777" w:rsidR="006369AE" w:rsidRDefault="006369AE">
    <w:pPr>
      <w:pBdr>
        <w:top w:val="nil"/>
        <w:left w:val="nil"/>
        <w:bottom w:val="single" w:sz="12" w:space="1" w:color="000000"/>
        <w:right w:val="nil"/>
        <w:between w:val="nil"/>
      </w:pBdr>
      <w:tabs>
        <w:tab w:val="center" w:pos="4536"/>
        <w:tab w:val="right" w:pos="9072"/>
      </w:tabs>
      <w:rPr>
        <w:color w:val="000000"/>
      </w:rPr>
    </w:pPr>
  </w:p>
  <w:p w14:paraId="000000C7" w14:textId="77777777" w:rsidR="006369AE" w:rsidRDefault="00000000">
    <w:pPr>
      <w:pBdr>
        <w:top w:val="nil"/>
        <w:left w:val="nil"/>
        <w:bottom w:val="nil"/>
        <w:right w:val="nil"/>
        <w:between w:val="nil"/>
      </w:pBdr>
      <w:tabs>
        <w:tab w:val="center" w:pos="4536"/>
        <w:tab w:val="right" w:pos="9072"/>
      </w:tabs>
      <w:rPr>
        <w:i/>
        <w:iCs/>
        <w:color w:val="000000"/>
        <w:sz w:val="20"/>
        <w:szCs w:val="20"/>
      </w:rPr>
    </w:pPr>
    <w:r>
      <w:rPr>
        <w:i/>
        <w:iCs/>
        <w:color w:val="000000"/>
        <w:sz w:val="20"/>
        <w:szCs w:val="20"/>
      </w:rPr>
      <w:t>Zpracováno společností CEEOR spol s.r.o. pro společnost ROCHE s.r.o.</w:t>
    </w:r>
    <w:r>
      <w:rPr>
        <w:noProof/>
      </w:rPr>
      <w:drawing>
        <wp:anchor distT="0" distB="0" distL="114300" distR="114300" simplePos="0" relativeHeight="251658240" behindDoc="0" locked="0" layoutInCell="1" hidden="0" allowOverlap="1" wp14:anchorId="30504388" wp14:editId="123B7507">
          <wp:simplePos x="0" y="0"/>
          <wp:positionH relativeFrom="column">
            <wp:posOffset>-286384</wp:posOffset>
          </wp:positionH>
          <wp:positionV relativeFrom="paragraph">
            <wp:posOffset>73136</wp:posOffset>
          </wp:positionV>
          <wp:extent cx="1423035" cy="397510"/>
          <wp:effectExtent l="0" t="0" r="0" b="0"/>
          <wp:wrapNone/>
          <wp:docPr id="1233373944" name="image4.png" descr="CEEOR"/>
          <wp:cNvGraphicFramePr/>
          <a:graphic xmlns:a="http://schemas.openxmlformats.org/drawingml/2006/main">
            <a:graphicData uri="http://schemas.openxmlformats.org/drawingml/2006/picture">
              <pic:pic xmlns:pic="http://schemas.openxmlformats.org/drawingml/2006/picture">
                <pic:nvPicPr>
                  <pic:cNvPr id="0" name="image4.png" descr="CEEOR"/>
                  <pic:cNvPicPr preferRelativeResize="0"/>
                </pic:nvPicPr>
                <pic:blipFill>
                  <a:blip r:embed="rId1"/>
                  <a:srcRect/>
                  <a:stretch>
                    <a:fillRect/>
                  </a:stretch>
                </pic:blipFill>
                <pic:spPr>
                  <a:xfrm>
                    <a:off x="0" y="0"/>
                    <a:ext cx="1423035" cy="397510"/>
                  </a:xfrm>
                  <a:prstGeom prst="rect">
                    <a:avLst/>
                  </a:prstGeom>
                  <a:ln/>
                </pic:spPr>
              </pic:pic>
            </a:graphicData>
          </a:graphic>
        </wp:anchor>
      </w:drawing>
    </w:r>
  </w:p>
  <w:p w14:paraId="000000C8" w14:textId="77777777" w:rsidR="006369AE" w:rsidRDefault="006369AE">
    <w:pPr>
      <w:pBdr>
        <w:top w:val="nil"/>
        <w:left w:val="nil"/>
        <w:bottom w:val="nil"/>
        <w:right w:val="nil"/>
        <w:between w:val="nil"/>
      </w:pBdr>
      <w:tabs>
        <w:tab w:val="center" w:pos="4536"/>
        <w:tab w:val="right" w:pos="9072"/>
      </w:tabs>
      <w:rPr>
        <w:color w:val="000000"/>
      </w:rPr>
    </w:pPr>
  </w:p>
  <w:p w14:paraId="000000C9" w14:textId="77777777" w:rsidR="006369AE" w:rsidRDefault="006369AE">
    <w:pPr>
      <w:pBdr>
        <w:top w:val="nil"/>
        <w:left w:val="nil"/>
        <w:bottom w:val="nil"/>
        <w:right w:val="nil"/>
        <w:between w:val="nil"/>
      </w:pBdr>
      <w:tabs>
        <w:tab w:val="center" w:pos="4536"/>
        <w:tab w:val="right" w:pos="9072"/>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7D7A3C1" w14:textId="77777777" w:rsidR="003B0DB6" w:rsidRDefault="003B0DB6">
      <w:r>
        <w:separator/>
      </w:r>
    </w:p>
  </w:footnote>
  <w:footnote w:type="continuationSeparator" w:id="0">
    <w:p w14:paraId="54B234C7" w14:textId="77777777" w:rsidR="003B0DB6" w:rsidRDefault="003B0DB6">
      <w:r>
        <w:continuationSeparator/>
      </w:r>
    </w:p>
  </w:footnote>
  <w:footnote w:id="1">
    <w:p w14:paraId="7E7FF652" w14:textId="6241657E" w:rsidR="00E10E87" w:rsidRPr="00E10E87" w:rsidRDefault="00E10E87">
      <w:pPr>
        <w:pStyle w:val="Textpoznpodarou"/>
        <w:rPr>
          <w:lang w:val="cs-CZ"/>
        </w:rPr>
      </w:pPr>
      <w:r>
        <w:rPr>
          <w:rStyle w:val="Znakapoznpodarou"/>
        </w:rPr>
        <w:footnoteRef/>
      </w:r>
      <w:r>
        <w:t xml:space="preserve"> </w:t>
      </w:r>
      <w:r w:rsidR="00871F87">
        <w:t>Čes</w:t>
      </w:r>
      <w:r w:rsidR="00871F87">
        <w:rPr>
          <w:lang w:val="cs-CZ"/>
        </w:rPr>
        <w:t xml:space="preserve">ká vitroretinální společnost, </w:t>
      </w:r>
      <w:r w:rsidR="00871F87" w:rsidRPr="00871F87">
        <w:rPr>
          <w:lang w:val="cs-CZ"/>
        </w:rPr>
        <w:t>Česká oftalmologická společnost České lékařské společnosti Jana Evangelisty Purkyně</w:t>
      </w:r>
      <w:r w:rsidR="00871F87">
        <w:rPr>
          <w:lang w:val="cs-CZ"/>
        </w:rPr>
        <w:t>, doc. MUD. Jan Němčanský, Ph.D., MBA</w:t>
      </w:r>
    </w:p>
  </w:footnote>
  <w:footnote w:id="2">
    <w:p w14:paraId="6AD4667E" w14:textId="27EEE4D3" w:rsidR="00E10E87" w:rsidRPr="00E10E87" w:rsidRDefault="00E10E87">
      <w:pPr>
        <w:pStyle w:val="Textpoznpodarou"/>
        <w:rPr>
          <w:lang w:val="cs-CZ"/>
        </w:rPr>
      </w:pPr>
      <w:r>
        <w:rPr>
          <w:rStyle w:val="Znakapoznpodarou"/>
        </w:rPr>
        <w:footnoteRef/>
      </w:r>
      <w:r>
        <w:t xml:space="preserve"> </w:t>
      </w:r>
      <w:r>
        <w:rPr>
          <w:lang w:val="cs-CZ"/>
        </w:rPr>
        <w:t xml:space="preserve">SÚKL: kód </w:t>
      </w:r>
      <w:r w:rsidRPr="00E10E87">
        <w:rPr>
          <w:lang w:val="cs-CZ"/>
        </w:rPr>
        <w:t>0194569</w:t>
      </w:r>
      <w:r>
        <w:rPr>
          <w:lang w:val="cs-CZ"/>
        </w:rPr>
        <w:t>, Registrovaný název LUCENTIS,</w:t>
      </w:r>
      <w:r w:rsidR="00B75CF9">
        <w:rPr>
          <w:lang w:val="cs-CZ"/>
        </w:rPr>
        <w:t xml:space="preserve"> uvedeno ke dni 15.3.2026, </w:t>
      </w:r>
      <w:hyperlink r:id="rId1" w:anchor="/leciva/0194569" w:history="1">
        <w:r w:rsidR="00B75CF9" w:rsidRPr="0062581F">
          <w:rPr>
            <w:rStyle w:val="Hypertextovodkaz"/>
            <w:lang w:val="cs-CZ"/>
          </w:rPr>
          <w:t>https://prehledy.sukl.cz/prehled_leciv.html#/leciva/0194569</w:t>
        </w:r>
      </w:hyperlink>
      <w:r w:rsidR="00B75CF9">
        <w:rPr>
          <w:lang w:val="cs-CZ"/>
        </w:rPr>
        <w:t xml:space="preserve"> </w:t>
      </w:r>
    </w:p>
  </w:footnote>
  <w:footnote w:id="3">
    <w:p w14:paraId="0EA8CA22" w14:textId="7ED936F8" w:rsidR="00AE1538" w:rsidRPr="00AE1538" w:rsidRDefault="00AE1538">
      <w:pPr>
        <w:pStyle w:val="Textpoznpodarou"/>
        <w:rPr>
          <w:lang w:val="cs-CZ"/>
        </w:rPr>
      </w:pPr>
      <w:r>
        <w:rPr>
          <w:rStyle w:val="Znakapoznpodarou"/>
        </w:rPr>
        <w:footnoteRef/>
      </w:r>
      <w:r>
        <w:t xml:space="preserve"> </w:t>
      </w:r>
      <w:r>
        <w:rPr>
          <w:lang w:val="cs-CZ"/>
        </w:rPr>
        <w:t>Česká vitroretinální společnost</w:t>
      </w:r>
      <w:r w:rsidR="00871F87">
        <w:rPr>
          <w:lang w:val="cs-CZ"/>
        </w:rPr>
        <w:t xml:space="preserve">, </w:t>
      </w:r>
      <w:r w:rsidR="00871F87" w:rsidRPr="00871F87">
        <w:rPr>
          <w:lang w:val="cs-CZ"/>
        </w:rPr>
        <w:t>Česká oftalmologická společnost České lékařské společnosti Jana Evangelisty Purkyně</w:t>
      </w:r>
      <w:r>
        <w:rPr>
          <w:lang w:val="cs-CZ"/>
        </w:rPr>
        <w:t>, doc. MUD. Jan Němčanský, Ph.D., MBA</w:t>
      </w:r>
    </w:p>
  </w:footnote>
  <w:footnote w:id="4">
    <w:p w14:paraId="012C6217" w14:textId="27D939B6" w:rsidR="00B75CF9" w:rsidRPr="00B75CF9" w:rsidRDefault="00B75CF9">
      <w:pPr>
        <w:pStyle w:val="Textpoznpodarou"/>
        <w:rPr>
          <w:lang w:val="cs-CZ"/>
        </w:rPr>
      </w:pPr>
      <w:r>
        <w:rPr>
          <w:rStyle w:val="Znakapoznpodarou"/>
        </w:rPr>
        <w:footnoteRef/>
      </w:r>
      <w:r>
        <w:t xml:space="preserve"> </w:t>
      </w:r>
      <w:r>
        <w:rPr>
          <w:lang w:val="cs-CZ"/>
        </w:rPr>
        <w:t xml:space="preserve">SÚKL: kód </w:t>
      </w:r>
      <w:r w:rsidRPr="00E10E87">
        <w:rPr>
          <w:lang w:val="cs-CZ"/>
        </w:rPr>
        <w:t>0194569</w:t>
      </w:r>
      <w:r>
        <w:rPr>
          <w:lang w:val="cs-CZ"/>
        </w:rPr>
        <w:t xml:space="preserve">, Registrovaný název LUCENTIS, uvedeno ke dni 15.3.2026, </w:t>
      </w:r>
      <w:hyperlink r:id="rId2" w:anchor="/leciva/0194569" w:history="1">
        <w:r w:rsidRPr="0062581F">
          <w:rPr>
            <w:rStyle w:val="Hypertextovodkaz"/>
            <w:lang w:val="cs-CZ"/>
          </w:rPr>
          <w:t>https://prehledy.sukl.cz/prehled_leciv.html#/leciva/0194569</w:t>
        </w:r>
      </w:hyperlink>
    </w:p>
  </w:footnote>
  <w:footnote w:id="5">
    <w:p w14:paraId="4922FBFB" w14:textId="10ECE2EA" w:rsidR="00B75CF9" w:rsidRPr="00B75CF9" w:rsidRDefault="00B75CF9">
      <w:pPr>
        <w:pStyle w:val="Textpoznpodarou"/>
        <w:rPr>
          <w:lang w:val="cs-CZ"/>
        </w:rPr>
      </w:pPr>
      <w:r>
        <w:rPr>
          <w:rStyle w:val="Znakapoznpodarou"/>
        </w:rPr>
        <w:footnoteRef/>
      </w:r>
      <w:r>
        <w:t xml:space="preserve"> Uvedeno ke dni 15.3.2026: </w:t>
      </w:r>
      <w:r w:rsidRPr="00B75CF9">
        <w:t>https://szv.mzcr.cz/Vykon/Detail/75231/</w:t>
      </w:r>
      <w:r>
        <w:t xml:space="preserve"> </w:t>
      </w:r>
    </w:p>
  </w:footnote>
  <w:footnote w:id="6">
    <w:p w14:paraId="55AFF3A7" w14:textId="77777777" w:rsidR="000570D4" w:rsidRPr="00AE1538" w:rsidRDefault="000570D4" w:rsidP="000570D4">
      <w:pPr>
        <w:pStyle w:val="Textpoznpodarou"/>
        <w:rPr>
          <w:lang w:val="cs-CZ"/>
        </w:rPr>
      </w:pPr>
      <w:r>
        <w:rPr>
          <w:rStyle w:val="Znakapoznpodarou"/>
        </w:rPr>
        <w:footnoteRef/>
      </w:r>
      <w:r>
        <w:t xml:space="preserve"> </w:t>
      </w:r>
      <w:hyperlink r:id="rId3" w:history="1">
        <w:r w:rsidRPr="0062581F">
          <w:rPr>
            <w:rStyle w:val="Hypertextovodkaz"/>
          </w:rPr>
          <w:t>https://www.vzp.cz/o-nas/dokumenty/publikace-dat</w:t>
        </w:r>
      </w:hyperlink>
      <w:r>
        <w:t xml:space="preserve">, list 1.1 Přehled vykázaných výkonů a ošetřovacích dní a listy 2.6/2.7 Přehled léčivých přípravků poskytovaných a předepisovaných v centrech se zvláštní smlouvou </w:t>
      </w:r>
    </w:p>
  </w:footnote>
  <w:footnote w:id="7">
    <w:p w14:paraId="11964549" w14:textId="6F99B67E" w:rsidR="000570D4" w:rsidRPr="000570D4" w:rsidRDefault="000570D4">
      <w:pPr>
        <w:pStyle w:val="Textpoznpodarou"/>
        <w:rPr>
          <w:lang w:val="cs-CZ"/>
        </w:rPr>
      </w:pPr>
      <w:r>
        <w:rPr>
          <w:rStyle w:val="Znakapoznpodarou"/>
        </w:rPr>
        <w:footnoteRef/>
      </w:r>
      <w:r>
        <w:t xml:space="preserve"> Ústav zdravotnických informací a statistiky ČR </w:t>
      </w:r>
      <w:hyperlink r:id="rId4" w:history="1">
        <w:r w:rsidRPr="0062581F">
          <w:rPr>
            <w:rStyle w:val="Hypertextovodkaz"/>
          </w:rPr>
          <w:t>https://www.uzis.cz/</w:t>
        </w:r>
      </w:hyperlink>
      <w:r>
        <w:t xml:space="preserve"> </w:t>
      </w:r>
    </w:p>
  </w:footnote>
  <w:footnote w:id="8">
    <w:p w14:paraId="02F30428" w14:textId="73B36DCE" w:rsidR="002055A0" w:rsidRPr="002055A0" w:rsidRDefault="002055A0">
      <w:pPr>
        <w:pStyle w:val="Textpoznpodarou"/>
        <w:rPr>
          <w:lang w:val="cs-CZ"/>
        </w:rPr>
      </w:pPr>
      <w:r>
        <w:rPr>
          <w:rStyle w:val="Znakapoznpodarou"/>
        </w:rPr>
        <w:footnoteRef/>
      </w:r>
      <w:r>
        <w:t xml:space="preserve"> Detailní zdroje jednotlivých hodnot jsou uvedeny v Příloze: Model analýzy dopadu do rozpočtu</w:t>
      </w:r>
    </w:p>
  </w:footnote>
  <w:footnote w:id="9">
    <w:p w14:paraId="414840FD" w14:textId="0B49C3C6" w:rsidR="00871F87" w:rsidRPr="00871F87" w:rsidRDefault="00871F87">
      <w:pPr>
        <w:pStyle w:val="Textpoznpodarou"/>
        <w:rPr>
          <w:lang w:val="cs-CZ"/>
        </w:rPr>
      </w:pPr>
      <w:r>
        <w:rPr>
          <w:rStyle w:val="Znakapoznpodarou"/>
        </w:rPr>
        <w:footnoteRef/>
      </w:r>
      <w:r>
        <w:t xml:space="preserve"> Čes</w:t>
      </w:r>
      <w:r>
        <w:rPr>
          <w:lang w:val="cs-CZ"/>
        </w:rPr>
        <w:t xml:space="preserve">ká vitroretinální společnost, </w:t>
      </w:r>
      <w:r w:rsidRPr="00871F87">
        <w:rPr>
          <w:lang w:val="cs-CZ"/>
        </w:rPr>
        <w:t>Česká oftalmologická společnost České lékařské společnosti Jana Evangelisty Purkyně</w:t>
      </w:r>
      <w:r>
        <w:rPr>
          <w:lang w:val="cs-CZ"/>
        </w:rPr>
        <w:t>, doc. MUD. Jan Němčanský, Ph.D., MBA</w:t>
      </w:r>
      <w:r w:rsidR="002055A0">
        <w:rPr>
          <w:lang w:val="cs-CZ"/>
        </w:rPr>
        <w:t xml:space="preserve"> ve spolupráci s marketingovým oddělením společnosti ROCHE s.r.o.</w:t>
      </w:r>
    </w:p>
  </w:footnote>
  <w:footnote w:id="10">
    <w:p w14:paraId="4AA90784" w14:textId="354595BB" w:rsidR="003F27CF" w:rsidRPr="003F27CF" w:rsidRDefault="003F27CF">
      <w:pPr>
        <w:pStyle w:val="Textpoznpodarou"/>
        <w:rPr>
          <w:lang w:val="cs-CZ"/>
        </w:rPr>
      </w:pPr>
      <w:r>
        <w:rPr>
          <w:rStyle w:val="Znakapoznpodarou"/>
        </w:rPr>
        <w:footnoteRef/>
      </w:r>
      <w:r>
        <w:t xml:space="preserve"> </w:t>
      </w:r>
      <w:r w:rsidRPr="003F27CF">
        <w:t>https://prehledy.sukl.cz/prehled_leciv.html#/</w:t>
      </w:r>
    </w:p>
  </w:footnote>
  <w:footnote w:id="11">
    <w:p w14:paraId="6600F762" w14:textId="3B56690F" w:rsidR="003F27CF" w:rsidRDefault="003F27CF">
      <w:pPr>
        <w:pStyle w:val="Textpoznpodarou"/>
      </w:pPr>
      <w:r>
        <w:rPr>
          <w:rStyle w:val="Znakapoznpodarou"/>
        </w:rPr>
        <w:footnoteRef/>
      </w:r>
      <w:r>
        <w:t xml:space="preserve"> </w:t>
      </w:r>
      <w:hyperlink r:id="rId5" w:history="1">
        <w:r w:rsidRPr="0062581F">
          <w:rPr>
            <w:rStyle w:val="Hypertextovodkaz"/>
          </w:rPr>
          <w:t>https://szv.mzcr.cz/Vykon/Detail/75231/</w:t>
        </w:r>
      </w:hyperlink>
    </w:p>
    <w:p w14:paraId="399FD97C" w14:textId="737F2E35" w:rsidR="003F27CF" w:rsidRPr="003F27CF" w:rsidRDefault="003F27CF">
      <w:pPr>
        <w:pStyle w:val="Textpoznpodarou"/>
        <w:rPr>
          <w:lang w:val="cs-CZ"/>
        </w:rPr>
      </w:pPr>
    </w:p>
  </w:footnote>
  <w:footnote w:id="12">
    <w:p w14:paraId="77D7F1D2" w14:textId="486FD3FC" w:rsidR="001F6D46" w:rsidRPr="001F6D46" w:rsidRDefault="001F6D46">
      <w:pPr>
        <w:pStyle w:val="Textpoznpodarou"/>
        <w:rPr>
          <w:lang w:val="cs-CZ"/>
        </w:rPr>
      </w:pPr>
      <w:r>
        <w:rPr>
          <w:rStyle w:val="Znakapoznpodarou"/>
        </w:rPr>
        <w:footnoteRef/>
      </w:r>
      <w:r>
        <w:t xml:space="preserve"> Čes</w:t>
      </w:r>
      <w:r>
        <w:rPr>
          <w:lang w:val="cs-CZ"/>
        </w:rPr>
        <w:t xml:space="preserve">ká vitroretinální společnost, </w:t>
      </w:r>
      <w:r w:rsidRPr="00871F87">
        <w:rPr>
          <w:lang w:val="cs-CZ"/>
        </w:rPr>
        <w:t>Česká oftalmologická společnost České lékařské společnosti Jana Evangelisty Purkyně</w:t>
      </w:r>
      <w:r>
        <w:rPr>
          <w:lang w:val="cs-CZ"/>
        </w:rPr>
        <w:t>, doc. MUD. Jan Němčanský, Ph.D., MBA ve spolupráci s marketingovým oddělením společnosti ROCHE s.r.o.</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C5" w14:textId="23C9300B" w:rsidR="006369AE" w:rsidRDefault="00000000">
    <w:pPr>
      <w:pBdr>
        <w:bottom w:val="single" w:sz="6" w:space="1" w:color="000000"/>
      </w:pBdr>
      <w:tabs>
        <w:tab w:val="center" w:pos="4536"/>
        <w:tab w:val="right" w:pos="9072"/>
      </w:tabs>
      <w:jc w:val="right"/>
      <w:rPr>
        <w:i/>
        <w:iCs/>
        <w:sz w:val="20"/>
        <w:szCs w:val="20"/>
      </w:rPr>
    </w:pPr>
    <w:r>
      <w:rPr>
        <w:i/>
        <w:iCs/>
        <w:sz w:val="20"/>
        <w:szCs w:val="20"/>
      </w:rPr>
      <w:t xml:space="preserve">PDP – analýza dopadu na rozpočet, str. </w:t>
    </w:r>
    <w:r>
      <w:rPr>
        <w:i/>
        <w:iCs/>
        <w:sz w:val="20"/>
        <w:szCs w:val="20"/>
      </w:rPr>
      <w:fldChar w:fldCharType="begin"/>
    </w:r>
    <w:r>
      <w:rPr>
        <w:i/>
        <w:iCs/>
        <w:sz w:val="20"/>
        <w:szCs w:val="20"/>
      </w:rPr>
      <w:instrText>PAGE</w:instrText>
    </w:r>
    <w:r>
      <w:rPr>
        <w:i/>
        <w:iCs/>
        <w:sz w:val="20"/>
        <w:szCs w:val="20"/>
      </w:rPr>
      <w:fldChar w:fldCharType="separate"/>
    </w:r>
    <w:r w:rsidR="00C84482">
      <w:rPr>
        <w:i/>
        <w:iCs/>
        <w:noProof/>
        <w:sz w:val="20"/>
        <w:szCs w:val="20"/>
      </w:rPr>
      <w:t>1</w:t>
    </w:r>
    <w:r>
      <w:rPr>
        <w:i/>
        <w:iCs/>
        <w:sz w:val="20"/>
        <w:szCs w:val="20"/>
      </w:rPr>
      <w:fldChar w:fldCharType="end"/>
    </w:r>
    <w:r>
      <w:rPr>
        <w:i/>
        <w:iCs/>
        <w:sz w:val="20"/>
        <w:szCs w:val="20"/>
      </w:rPr>
      <w:t xml:space="preserve"> z </w:t>
    </w:r>
    <w:r w:rsidR="000F19F5">
      <w:rPr>
        <w:i/>
        <w:iCs/>
        <w:sz w:val="20"/>
        <w:szCs w:val="20"/>
      </w:rPr>
      <w:t>1</w:t>
    </w:r>
    <w:r>
      <w:rPr>
        <w:i/>
        <w:iCs/>
        <w:sz w:val="20"/>
        <w:szCs w:val="20"/>
      </w:rPr>
      <w:t>9</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70480C"/>
    <w:multiLevelType w:val="multilevel"/>
    <w:tmpl w:val="5D260F84"/>
    <w:lvl w:ilvl="0">
      <w:start w:val="1"/>
      <w:numFmt w:val="bullet"/>
      <w:lvlText w:val="●"/>
      <w:lvlJc w:val="left"/>
      <w:pPr>
        <w:ind w:left="720" w:hanging="360"/>
      </w:pPr>
      <w:rPr>
        <w:rFonts w:ascii="Noto Sans Symbols" w:eastAsia="Noto Sans Symbols" w:hAnsi="Noto Sans Symbols" w:cs="Noto Sans Symbol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D134483"/>
    <w:multiLevelType w:val="multilevel"/>
    <w:tmpl w:val="2BE68C72"/>
    <w:lvl w:ilvl="0">
      <w:start w:val="363"/>
      <w:numFmt w:val="bullet"/>
      <w:lvlText w:val="-"/>
      <w:lvlJc w:val="left"/>
      <w:pPr>
        <w:ind w:left="720" w:hanging="360"/>
      </w:pPr>
      <w:rPr>
        <w:rFonts w:ascii="Arial" w:eastAsia="Arial" w:hAnsi="Arial" w:cs="Arial"/>
        <w:color w:val="000000"/>
        <w:sz w:val="20"/>
        <w:szCs w:val="2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1B071F39"/>
    <w:multiLevelType w:val="multilevel"/>
    <w:tmpl w:val="1FA0AEF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396D4B8C"/>
    <w:multiLevelType w:val="multilevel"/>
    <w:tmpl w:val="EA266B1A"/>
    <w:lvl w:ilvl="0">
      <w:start w:val="363"/>
      <w:numFmt w:val="bullet"/>
      <w:lvlText w:val="-"/>
      <w:lvlJc w:val="left"/>
      <w:pPr>
        <w:ind w:left="720" w:hanging="360"/>
      </w:pPr>
      <w:rPr>
        <w:rFonts w:ascii="Avenir" w:eastAsia="Avenir" w:hAnsi="Avenir" w:cs="Avenir"/>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4024786D"/>
    <w:multiLevelType w:val="multilevel"/>
    <w:tmpl w:val="9C7CE5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4EE165AD"/>
    <w:multiLevelType w:val="multilevel"/>
    <w:tmpl w:val="C3541210"/>
    <w:lvl w:ilvl="0">
      <w:start w:val="1"/>
      <w:numFmt w:val="decimal"/>
      <w:lvlText w:val="%1."/>
      <w:lvlJc w:val="left"/>
      <w:pPr>
        <w:ind w:left="360" w:hanging="360"/>
      </w:pPr>
    </w:lvl>
    <w:lvl w:ilvl="1">
      <w:start w:val="1"/>
      <w:numFmt w:val="decimal"/>
      <w:lvlText w:val="%1.%2."/>
      <w:lvlJc w:val="left"/>
      <w:pPr>
        <w:ind w:left="1283" w:hanging="431"/>
      </w:pPr>
    </w:lvl>
    <w:lvl w:ilvl="2">
      <w:start w:val="1"/>
      <w:numFmt w:val="decimal"/>
      <w:lvlText w:val="%1.%2.%3."/>
      <w:lvlJc w:val="left"/>
      <w:pPr>
        <w:ind w:left="1224" w:hanging="504"/>
      </w:pPr>
    </w:lvl>
    <w:lvl w:ilvl="3">
      <w:start w:val="1"/>
      <w:numFmt w:val="decimal"/>
      <w:lvlText w:val="%1.%2.%3.%4."/>
      <w:lvlJc w:val="left"/>
      <w:pPr>
        <w:ind w:left="1728" w:hanging="647"/>
      </w:pPr>
      <w:rPr>
        <w:sz w:val="22"/>
        <w:szCs w:val="22"/>
      </w:r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5BF210EA"/>
    <w:multiLevelType w:val="multilevel"/>
    <w:tmpl w:val="27148C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603174E2"/>
    <w:multiLevelType w:val="multilevel"/>
    <w:tmpl w:val="812296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65DF67DC"/>
    <w:multiLevelType w:val="multilevel"/>
    <w:tmpl w:val="489625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67B31149"/>
    <w:multiLevelType w:val="multilevel"/>
    <w:tmpl w:val="C40CA1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76271597"/>
    <w:multiLevelType w:val="multilevel"/>
    <w:tmpl w:val="07583F8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15:restartNumberingAfterBreak="0">
    <w:nsid w:val="7CF17F8D"/>
    <w:multiLevelType w:val="multilevel"/>
    <w:tmpl w:val="1FEAA14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537353534">
    <w:abstractNumId w:val="5"/>
  </w:num>
  <w:num w:numId="2" w16cid:durableId="1647202028">
    <w:abstractNumId w:val="2"/>
  </w:num>
  <w:num w:numId="3" w16cid:durableId="294409845">
    <w:abstractNumId w:val="10"/>
  </w:num>
  <w:num w:numId="4" w16cid:durableId="483661250">
    <w:abstractNumId w:val="0"/>
  </w:num>
  <w:num w:numId="5" w16cid:durableId="931669819">
    <w:abstractNumId w:val="3"/>
  </w:num>
  <w:num w:numId="6" w16cid:durableId="879170586">
    <w:abstractNumId w:val="1"/>
  </w:num>
  <w:num w:numId="7" w16cid:durableId="198202005">
    <w:abstractNumId w:val="11"/>
  </w:num>
  <w:num w:numId="8" w16cid:durableId="926966836">
    <w:abstractNumId w:val="9"/>
  </w:num>
  <w:num w:numId="9" w16cid:durableId="318004607">
    <w:abstractNumId w:val="8"/>
  </w:num>
  <w:num w:numId="10" w16cid:durableId="247350091">
    <w:abstractNumId w:val="4"/>
  </w:num>
  <w:num w:numId="11" w16cid:durableId="1368146229">
    <w:abstractNumId w:val="7"/>
  </w:num>
  <w:num w:numId="12" w16cid:durableId="1041173169">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4"/>
  <w:embedTrueTypeFonts/>
  <w:proofState w:spelling="clean" w:grammar="clean"/>
  <w:trackRevisions/>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369AE"/>
    <w:rsid w:val="00043450"/>
    <w:rsid w:val="000570D4"/>
    <w:rsid w:val="00063A90"/>
    <w:rsid w:val="000C4506"/>
    <w:rsid w:val="000F19F5"/>
    <w:rsid w:val="000F418C"/>
    <w:rsid w:val="00174E41"/>
    <w:rsid w:val="001C3747"/>
    <w:rsid w:val="001F6D46"/>
    <w:rsid w:val="002055A0"/>
    <w:rsid w:val="003B0DB6"/>
    <w:rsid w:val="003F27CF"/>
    <w:rsid w:val="004132FD"/>
    <w:rsid w:val="004449B3"/>
    <w:rsid w:val="004656E5"/>
    <w:rsid w:val="00490948"/>
    <w:rsid w:val="00494844"/>
    <w:rsid w:val="004D3274"/>
    <w:rsid w:val="004F136F"/>
    <w:rsid w:val="004F44EE"/>
    <w:rsid w:val="00546578"/>
    <w:rsid w:val="00582B14"/>
    <w:rsid w:val="005A22A8"/>
    <w:rsid w:val="005B1537"/>
    <w:rsid w:val="005D5BC9"/>
    <w:rsid w:val="006369AE"/>
    <w:rsid w:val="006A0652"/>
    <w:rsid w:val="006C7C9F"/>
    <w:rsid w:val="00776206"/>
    <w:rsid w:val="00782935"/>
    <w:rsid w:val="00871F87"/>
    <w:rsid w:val="0089359D"/>
    <w:rsid w:val="009636CF"/>
    <w:rsid w:val="00A14DB4"/>
    <w:rsid w:val="00A15B9D"/>
    <w:rsid w:val="00AC7923"/>
    <w:rsid w:val="00AE1538"/>
    <w:rsid w:val="00B2440A"/>
    <w:rsid w:val="00B64B5D"/>
    <w:rsid w:val="00B75CF9"/>
    <w:rsid w:val="00C672F8"/>
    <w:rsid w:val="00C84482"/>
    <w:rsid w:val="00D06F7E"/>
    <w:rsid w:val="00D6755E"/>
    <w:rsid w:val="00D730CE"/>
    <w:rsid w:val="00E10E87"/>
    <w:rsid w:val="00E42895"/>
    <w:rsid w:val="00E56E71"/>
    <w:rsid w:val="00ED19F2"/>
    <w:rsid w:val="00F06986"/>
    <w:rsid w:val="00FC7BC8"/>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2E41AEB"/>
  <w15:docId w15:val="{327FD0BF-9FDA-9847-AEA2-045C70F610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venir" w:eastAsia="Avenir" w:hAnsi="Avenir" w:cs="Avenir"/>
        <w:sz w:val="22"/>
        <w:szCs w:val="22"/>
        <w:lang w:val="cs" w:eastAsia="cs-CZ"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style>
  <w:style w:type="paragraph" w:styleId="Nadpis1">
    <w:name w:val="heading 1"/>
    <w:basedOn w:val="Normln"/>
    <w:next w:val="Normln"/>
    <w:uiPriority w:val="9"/>
    <w:qFormat/>
    <w:pPr>
      <w:keepNext/>
      <w:keepLines/>
      <w:spacing w:before="360" w:after="80"/>
      <w:ind w:left="360" w:hanging="360"/>
      <w:outlineLvl w:val="0"/>
    </w:pPr>
    <w:rPr>
      <w:color w:val="747474"/>
      <w:sz w:val="32"/>
      <w:szCs w:val="32"/>
    </w:rPr>
  </w:style>
  <w:style w:type="paragraph" w:styleId="Nadpis2">
    <w:name w:val="heading 2"/>
    <w:basedOn w:val="Normln"/>
    <w:next w:val="Normln"/>
    <w:uiPriority w:val="9"/>
    <w:unhideWhenUsed/>
    <w:qFormat/>
    <w:pPr>
      <w:keepNext/>
      <w:keepLines/>
      <w:spacing w:before="160" w:after="80"/>
      <w:ind w:left="792" w:hanging="432"/>
      <w:outlineLvl w:val="1"/>
    </w:pPr>
    <w:rPr>
      <w:color w:val="747474"/>
      <w:sz w:val="28"/>
      <w:szCs w:val="28"/>
    </w:rPr>
  </w:style>
  <w:style w:type="paragraph" w:styleId="Nadpis3">
    <w:name w:val="heading 3"/>
    <w:basedOn w:val="Normln"/>
    <w:next w:val="Normln"/>
    <w:uiPriority w:val="9"/>
    <w:unhideWhenUsed/>
    <w:qFormat/>
    <w:pPr>
      <w:keepNext/>
      <w:keepLines/>
      <w:spacing w:before="160" w:after="80"/>
      <w:ind w:left="1224" w:hanging="504"/>
      <w:outlineLvl w:val="2"/>
    </w:pPr>
    <w:rPr>
      <w:i/>
      <w:iCs/>
      <w:color w:val="747474"/>
      <w:sz w:val="26"/>
      <w:szCs w:val="26"/>
    </w:rPr>
  </w:style>
  <w:style w:type="paragraph" w:styleId="Nadpis4">
    <w:name w:val="heading 4"/>
    <w:basedOn w:val="Normln"/>
    <w:next w:val="Normln"/>
    <w:uiPriority w:val="9"/>
    <w:semiHidden/>
    <w:unhideWhenUsed/>
    <w:qFormat/>
    <w:pPr>
      <w:keepNext/>
      <w:keepLines/>
      <w:spacing w:before="80" w:after="40"/>
      <w:outlineLvl w:val="3"/>
    </w:pPr>
    <w:rPr>
      <w:i/>
      <w:iCs/>
      <w:color w:val="747474"/>
    </w:rPr>
  </w:style>
  <w:style w:type="paragraph" w:styleId="Nadpis5">
    <w:name w:val="heading 5"/>
    <w:basedOn w:val="Normln"/>
    <w:next w:val="Normln"/>
    <w:uiPriority w:val="9"/>
    <w:semiHidden/>
    <w:unhideWhenUsed/>
    <w:qFormat/>
    <w:pPr>
      <w:keepNext/>
      <w:keepLines/>
      <w:spacing w:before="80" w:after="40"/>
      <w:outlineLvl w:val="4"/>
    </w:pPr>
    <w:rPr>
      <w:color w:val="0F4761"/>
    </w:rPr>
  </w:style>
  <w:style w:type="paragraph" w:styleId="Nadpis6">
    <w:name w:val="heading 6"/>
    <w:basedOn w:val="Normln"/>
    <w:next w:val="Normln"/>
    <w:uiPriority w:val="9"/>
    <w:semiHidden/>
    <w:unhideWhenUsed/>
    <w:qFormat/>
    <w:pPr>
      <w:keepNext/>
      <w:keepLines/>
      <w:spacing w:before="40"/>
      <w:outlineLvl w:val="5"/>
    </w:pPr>
    <w:rPr>
      <w:i/>
      <w:iCs/>
      <w:color w:val="595959"/>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Nzev">
    <w:name w:val="Title"/>
    <w:basedOn w:val="Normln"/>
    <w:next w:val="Normln"/>
    <w:uiPriority w:val="10"/>
    <w:qFormat/>
    <w:pPr>
      <w:spacing w:after="80"/>
    </w:pPr>
    <w:rPr>
      <w:rFonts w:ascii="Play" w:eastAsia="Play" w:hAnsi="Play" w:cs="Play"/>
      <w:sz w:val="56"/>
      <w:szCs w:val="56"/>
    </w:rPr>
  </w:style>
  <w:style w:type="paragraph" w:styleId="Podnadpis">
    <w:name w:val="Subtitle"/>
    <w:basedOn w:val="Normln"/>
    <w:next w:val="Normln"/>
    <w:uiPriority w:val="11"/>
    <w:qFormat/>
    <w:pPr>
      <w:spacing w:after="160"/>
    </w:pPr>
    <w:rPr>
      <w:color w:val="595959"/>
      <w:sz w:val="28"/>
      <w:szCs w:val="28"/>
    </w:rPr>
  </w:style>
  <w:style w:type="table" w:customStyle="1" w:styleId="a">
    <w:basedOn w:val="TableNormal"/>
    <w:tblPr>
      <w:tblStyleRowBandSize w:val="1"/>
      <w:tblStyleColBandSize w:val="1"/>
      <w:tblCellMar>
        <w:top w:w="0" w:type="dxa"/>
        <w:left w:w="108" w:type="dxa"/>
        <w:bottom w:w="0" w:type="dxa"/>
        <w:right w:w="108" w:type="dxa"/>
      </w:tblCellMar>
    </w:tblPr>
  </w:style>
  <w:style w:type="table" w:customStyle="1" w:styleId="a0">
    <w:basedOn w:val="TableNormal"/>
    <w:tblPr>
      <w:tblStyleRowBandSize w:val="1"/>
      <w:tblStyleColBandSize w:val="1"/>
      <w:tblCellMar>
        <w:top w:w="0" w:type="dxa"/>
        <w:left w:w="108" w:type="dxa"/>
        <w:bottom w:w="0" w:type="dxa"/>
        <w:right w:w="108" w:type="dxa"/>
      </w:tblCellMar>
    </w:tblPr>
  </w:style>
  <w:style w:type="table" w:customStyle="1" w:styleId="a1">
    <w:basedOn w:val="TableNormal"/>
    <w:tblPr>
      <w:tblStyleRowBandSize w:val="1"/>
      <w:tblStyleColBandSize w:val="1"/>
      <w:tblCellMar>
        <w:top w:w="0" w:type="dxa"/>
        <w:left w:w="108" w:type="dxa"/>
        <w:bottom w:w="0" w:type="dxa"/>
        <w:right w:w="108" w:type="dxa"/>
      </w:tblCellMar>
    </w:tblPr>
  </w:style>
  <w:style w:type="table" w:customStyle="1" w:styleId="a2">
    <w:basedOn w:val="TableNormal"/>
    <w:tblPr>
      <w:tblStyleRowBandSize w:val="1"/>
      <w:tblStyleColBandSize w:val="1"/>
      <w:tblCellMar>
        <w:top w:w="0" w:type="dxa"/>
        <w:left w:w="108" w:type="dxa"/>
        <w:bottom w:w="0" w:type="dxa"/>
        <w:right w:w="108" w:type="dxa"/>
      </w:tblCellMar>
    </w:tblPr>
  </w:style>
  <w:style w:type="table" w:customStyle="1" w:styleId="a3">
    <w:basedOn w:val="TableNormal"/>
    <w:tblPr>
      <w:tblStyleRowBandSize w:val="1"/>
      <w:tblStyleColBandSize w:val="1"/>
      <w:tblCellMar>
        <w:top w:w="0" w:type="dxa"/>
        <w:left w:w="70" w:type="dxa"/>
        <w:bottom w:w="0" w:type="dxa"/>
        <w:right w:w="70" w:type="dxa"/>
      </w:tblCellMar>
    </w:tblPr>
  </w:style>
  <w:style w:type="paragraph" w:styleId="Textkomente">
    <w:name w:val="annotation text"/>
    <w:basedOn w:val="Normln"/>
    <w:link w:val="TextkomenteChar"/>
    <w:uiPriority w:val="99"/>
    <w:unhideWhenUsed/>
    <w:rPr>
      <w:sz w:val="20"/>
      <w:szCs w:val="20"/>
    </w:rPr>
  </w:style>
  <w:style w:type="character" w:customStyle="1" w:styleId="TextkomenteChar">
    <w:name w:val="Text komentáře Char"/>
    <w:basedOn w:val="Standardnpsmoodstavce"/>
    <w:link w:val="Textkomente"/>
    <w:uiPriority w:val="99"/>
    <w:rPr>
      <w:sz w:val="20"/>
      <w:szCs w:val="20"/>
    </w:rPr>
  </w:style>
  <w:style w:type="character" w:styleId="Odkaznakoment">
    <w:name w:val="annotation reference"/>
    <w:basedOn w:val="Standardnpsmoodstavce"/>
    <w:uiPriority w:val="99"/>
    <w:semiHidden/>
    <w:unhideWhenUsed/>
    <w:rPr>
      <w:sz w:val="16"/>
      <w:szCs w:val="16"/>
    </w:rPr>
  </w:style>
  <w:style w:type="character" w:customStyle="1" w:styleId="apple-converted-space">
    <w:name w:val="apple-converted-space"/>
    <w:basedOn w:val="Standardnpsmoodstavce"/>
    <w:rsid w:val="00043450"/>
  </w:style>
  <w:style w:type="character" w:customStyle="1" w:styleId="ng-star-inserted">
    <w:name w:val="ng-star-inserted"/>
    <w:basedOn w:val="Standardnpsmoodstavce"/>
    <w:rsid w:val="004F136F"/>
  </w:style>
  <w:style w:type="paragraph" w:customStyle="1" w:styleId="paragraph">
    <w:name w:val="paragraph"/>
    <w:basedOn w:val="Normln"/>
    <w:rsid w:val="00ED19F2"/>
    <w:pPr>
      <w:spacing w:before="100" w:beforeAutospacing="1" w:after="100" w:afterAutospacing="1"/>
    </w:pPr>
    <w:rPr>
      <w:rFonts w:ascii="Times New Roman" w:eastAsia="Times New Roman" w:hAnsi="Times New Roman" w:cs="Times New Roman"/>
      <w:sz w:val="24"/>
      <w:szCs w:val="24"/>
      <w:lang w:val="cs-CZ"/>
    </w:rPr>
  </w:style>
  <w:style w:type="paragraph" w:styleId="Odstavecseseznamem">
    <w:name w:val="List Paragraph"/>
    <w:basedOn w:val="Normln"/>
    <w:uiPriority w:val="34"/>
    <w:qFormat/>
    <w:rsid w:val="009636CF"/>
    <w:pPr>
      <w:ind w:left="720"/>
      <w:contextualSpacing/>
    </w:pPr>
  </w:style>
  <w:style w:type="paragraph" w:styleId="Textpoznpodarou">
    <w:name w:val="footnote text"/>
    <w:basedOn w:val="Normln"/>
    <w:link w:val="TextpoznpodarouChar"/>
    <w:uiPriority w:val="99"/>
    <w:semiHidden/>
    <w:unhideWhenUsed/>
    <w:rsid w:val="00E10E87"/>
    <w:rPr>
      <w:sz w:val="20"/>
      <w:szCs w:val="20"/>
    </w:rPr>
  </w:style>
  <w:style w:type="character" w:customStyle="1" w:styleId="TextpoznpodarouChar">
    <w:name w:val="Text pozn. pod čarou Char"/>
    <w:basedOn w:val="Standardnpsmoodstavce"/>
    <w:link w:val="Textpoznpodarou"/>
    <w:uiPriority w:val="99"/>
    <w:semiHidden/>
    <w:rsid w:val="00E10E87"/>
    <w:rPr>
      <w:sz w:val="20"/>
      <w:szCs w:val="20"/>
    </w:rPr>
  </w:style>
  <w:style w:type="character" w:styleId="Znakapoznpodarou">
    <w:name w:val="footnote reference"/>
    <w:basedOn w:val="Standardnpsmoodstavce"/>
    <w:uiPriority w:val="99"/>
    <w:semiHidden/>
    <w:unhideWhenUsed/>
    <w:rsid w:val="00E10E87"/>
    <w:rPr>
      <w:vertAlign w:val="superscript"/>
    </w:rPr>
  </w:style>
  <w:style w:type="character" w:styleId="Hypertextovodkaz">
    <w:name w:val="Hyperlink"/>
    <w:basedOn w:val="Standardnpsmoodstavce"/>
    <w:uiPriority w:val="99"/>
    <w:unhideWhenUsed/>
    <w:rsid w:val="00B75CF9"/>
    <w:rPr>
      <w:color w:val="0000FF" w:themeColor="hyperlink"/>
      <w:u w:val="single"/>
    </w:rPr>
  </w:style>
  <w:style w:type="character" w:styleId="Nevyeenzmnka">
    <w:name w:val="Unresolved Mention"/>
    <w:basedOn w:val="Standardnpsmoodstavce"/>
    <w:uiPriority w:val="99"/>
    <w:semiHidden/>
    <w:unhideWhenUsed/>
    <w:rsid w:val="00B75CF9"/>
    <w:rPr>
      <w:color w:val="605E5C"/>
      <w:shd w:val="clear" w:color="auto" w:fill="E1DFDD"/>
    </w:rPr>
  </w:style>
  <w:style w:type="table" w:styleId="Mkatabulky">
    <w:name w:val="Table Grid"/>
    <w:basedOn w:val="Normlntabulka"/>
    <w:uiPriority w:val="39"/>
    <w:rsid w:val="00AE153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ledovanodkaz">
    <w:name w:val="FollowedHyperlink"/>
    <w:basedOn w:val="Standardnpsmoodstavce"/>
    <w:uiPriority w:val="99"/>
    <w:semiHidden/>
    <w:unhideWhenUsed/>
    <w:rsid w:val="000570D4"/>
    <w:rPr>
      <w:color w:val="800080" w:themeColor="followedHyperlink"/>
      <w:u w:val="single"/>
    </w:rPr>
  </w:style>
  <w:style w:type="paragraph" w:styleId="Zhlav">
    <w:name w:val="header"/>
    <w:basedOn w:val="Normln"/>
    <w:link w:val="ZhlavChar"/>
    <w:uiPriority w:val="99"/>
    <w:unhideWhenUsed/>
    <w:rsid w:val="000F19F5"/>
    <w:pPr>
      <w:tabs>
        <w:tab w:val="center" w:pos="4536"/>
        <w:tab w:val="right" w:pos="9072"/>
      </w:tabs>
    </w:pPr>
  </w:style>
  <w:style w:type="character" w:customStyle="1" w:styleId="ZhlavChar">
    <w:name w:val="Záhlaví Char"/>
    <w:basedOn w:val="Standardnpsmoodstavce"/>
    <w:link w:val="Zhlav"/>
    <w:uiPriority w:val="99"/>
    <w:rsid w:val="000F19F5"/>
  </w:style>
  <w:style w:type="paragraph" w:styleId="Zpat">
    <w:name w:val="footer"/>
    <w:basedOn w:val="Normln"/>
    <w:link w:val="ZpatChar"/>
    <w:uiPriority w:val="99"/>
    <w:unhideWhenUsed/>
    <w:rsid w:val="000F19F5"/>
    <w:pPr>
      <w:tabs>
        <w:tab w:val="center" w:pos="4536"/>
        <w:tab w:val="right" w:pos="9072"/>
      </w:tabs>
    </w:pPr>
  </w:style>
  <w:style w:type="character" w:customStyle="1" w:styleId="ZpatChar">
    <w:name w:val="Zápatí Char"/>
    <w:basedOn w:val="Standardnpsmoodstavce"/>
    <w:link w:val="Zpat"/>
    <w:uiPriority w:val="99"/>
    <w:rsid w:val="000F19F5"/>
  </w:style>
  <w:style w:type="paragraph" w:styleId="Revize">
    <w:name w:val="Revision"/>
    <w:hidden/>
    <w:uiPriority w:val="99"/>
    <w:semiHidden/>
    <w:rsid w:val="00174E41"/>
  </w:style>
  <w:style w:type="paragraph" w:styleId="Pedmtkomente">
    <w:name w:val="annotation subject"/>
    <w:basedOn w:val="Textkomente"/>
    <w:next w:val="Textkomente"/>
    <w:link w:val="PedmtkomenteChar"/>
    <w:uiPriority w:val="99"/>
    <w:semiHidden/>
    <w:unhideWhenUsed/>
    <w:rsid w:val="00174E41"/>
    <w:rPr>
      <w:b/>
      <w:bCs/>
    </w:rPr>
  </w:style>
  <w:style w:type="character" w:customStyle="1" w:styleId="PedmtkomenteChar">
    <w:name w:val="Předmět komentáře Char"/>
    <w:basedOn w:val="TextkomenteChar"/>
    <w:link w:val="Pedmtkomente"/>
    <w:uiPriority w:val="99"/>
    <w:semiHidden/>
    <w:rsid w:val="00174E41"/>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18" Type="http://schemas.openxmlformats.org/officeDocument/2006/relationships/image" Target="media/image8.png"/><Relationship Id="rId3" Type="http://schemas.openxmlformats.org/officeDocument/2006/relationships/numbering" Target="numbering.xml"/><Relationship Id="rId21" Type="http://schemas.openxmlformats.org/officeDocument/2006/relationships/image" Target="media/image11.png"/><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fontTable" Target="fontTable.xml"/><Relationship Id="rId10" Type="http://schemas.openxmlformats.org/officeDocument/2006/relationships/chart" Target="charts/chart1.xml"/><Relationship Id="rId19" Type="http://schemas.openxmlformats.org/officeDocument/2006/relationships/image" Target="media/image9.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footer" Target="footer1.xml"/><Relationship Id="rId22" Type="http://schemas.openxmlformats.org/officeDocument/2006/relationships/image" Target="media/image12.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er1.xml.rels><?xml version="1.0" encoding="UTF-8" standalone="yes"?>
<Relationships xmlns="http://schemas.openxmlformats.org/package/2006/relationships"><Relationship Id="rId1" Type="http://schemas.openxmlformats.org/officeDocument/2006/relationships/image" Target="media/image4.png"/></Relationships>
</file>

<file path=word/_rels/footnotes.xml.rels><?xml version="1.0" encoding="UTF-8" standalone="yes"?>
<Relationships xmlns="http://schemas.openxmlformats.org/package/2006/relationships"><Relationship Id="rId3" Type="http://schemas.openxmlformats.org/officeDocument/2006/relationships/hyperlink" Target="https://www.vzp.cz/o-nas/dokumenty/publikace-dat" TargetMode="External"/><Relationship Id="rId2" Type="http://schemas.openxmlformats.org/officeDocument/2006/relationships/hyperlink" Target="https://prehledy.sukl.cz/prehled_leciv.html" TargetMode="External"/><Relationship Id="rId1" Type="http://schemas.openxmlformats.org/officeDocument/2006/relationships/hyperlink" Target="https://prehledy.sukl.cz/prehled_leciv.html" TargetMode="External"/><Relationship Id="rId5" Type="http://schemas.openxmlformats.org/officeDocument/2006/relationships/hyperlink" Target="https://szv.mzcr.cz/Vykon/Detail/75231/" TargetMode="External"/><Relationship Id="rId4" Type="http://schemas.openxmlformats.org/officeDocument/2006/relationships/hyperlink" Target="https://www.uzis.cz/" TargetMode="Externa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Users\ivana\Documents\CEEOR\Roche\Podklady%20pro%20vy&#769;poc&#780;et%20.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7"/>
    </mc:Choice>
    <mc:Fallback>
      <c:style val="7"/>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r>
              <a:rPr lang="en-US"/>
              <a:t>Počet vykázaných pacientů v letech 2021-2025</a:t>
            </a:r>
          </a:p>
        </c:rich>
      </c:tx>
      <c:overlay val="0"/>
      <c:spPr>
        <a:noFill/>
        <a:ln>
          <a:noFill/>
        </a:ln>
        <a:effectLst/>
      </c:spPr>
      <c:txPr>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endParaRPr lang="cs-CZ"/>
        </a:p>
      </c:txPr>
    </c:title>
    <c:autoTitleDeleted val="0"/>
    <c:plotArea>
      <c:layout/>
      <c:barChart>
        <c:barDir val="bar"/>
        <c:grouping val="clustered"/>
        <c:varyColors val="0"/>
        <c:ser>
          <c:idx val="0"/>
          <c:order val="0"/>
          <c:tx>
            <c:strRef>
              <c:f>List2!$A$3</c:f>
              <c:strCache>
                <c:ptCount val="1"/>
                <c:pt idx="0">
                  <c:v>Počet pacientů</c:v>
                </c:pt>
              </c:strCache>
            </c:strRef>
          </c:tx>
          <c:spPr>
            <a:solidFill>
              <a:schemeClr val="accent5">
                <a:alpha val="85000"/>
              </a:schemeClr>
            </a:solidFill>
            <a:ln w="9525" cap="flat" cmpd="sng" algn="ctr">
              <a:solidFill>
                <a:schemeClr val="lt1">
                  <a:alpha val="50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cs-CZ"/>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numRef>
              <c:f>List2!$B$2:$F$2</c:f>
              <c:numCache>
                <c:formatCode>General</c:formatCode>
                <c:ptCount val="5"/>
                <c:pt idx="0">
                  <c:v>2021</c:v>
                </c:pt>
                <c:pt idx="1">
                  <c:v>2022</c:v>
                </c:pt>
                <c:pt idx="2">
                  <c:v>2023</c:v>
                </c:pt>
                <c:pt idx="3">
                  <c:v>2024</c:v>
                </c:pt>
                <c:pt idx="4">
                  <c:v>2025</c:v>
                </c:pt>
              </c:numCache>
            </c:numRef>
          </c:cat>
          <c:val>
            <c:numRef>
              <c:f>List2!$B$3:$F$3</c:f>
              <c:numCache>
                <c:formatCode>General</c:formatCode>
                <c:ptCount val="5"/>
                <c:pt idx="0">
                  <c:v>11166</c:v>
                </c:pt>
                <c:pt idx="1">
                  <c:v>12755</c:v>
                </c:pt>
                <c:pt idx="2">
                  <c:v>14769</c:v>
                </c:pt>
                <c:pt idx="3">
                  <c:v>16997</c:v>
                </c:pt>
                <c:pt idx="4">
                  <c:v>19232</c:v>
                </c:pt>
              </c:numCache>
            </c:numRef>
          </c:val>
          <c:extLst>
            <c:ext xmlns:c16="http://schemas.microsoft.com/office/drawing/2014/chart" uri="{C3380CC4-5D6E-409C-BE32-E72D297353CC}">
              <c16:uniqueId val="{00000000-B2D1-8B4D-A31A-97AB386DDF02}"/>
            </c:ext>
          </c:extLst>
        </c:ser>
        <c:dLbls>
          <c:dLblPos val="inEnd"/>
          <c:showLegendKey val="0"/>
          <c:showVal val="1"/>
          <c:showCatName val="0"/>
          <c:showSerName val="0"/>
          <c:showPercent val="0"/>
          <c:showBubbleSize val="0"/>
        </c:dLbls>
        <c:gapWidth val="65"/>
        <c:axId val="2016428927"/>
        <c:axId val="2016430719"/>
      </c:barChart>
      <c:catAx>
        <c:axId val="2016428927"/>
        <c:scaling>
          <c:orientation val="minMax"/>
        </c:scaling>
        <c:delete val="0"/>
        <c:axPos val="l"/>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mn-lt"/>
                <a:ea typeface="+mn-ea"/>
                <a:cs typeface="+mn-cs"/>
              </a:defRPr>
            </a:pPr>
            <a:endParaRPr lang="cs-CZ"/>
          </a:p>
        </c:txPr>
        <c:crossAx val="2016430719"/>
        <c:crosses val="autoZero"/>
        <c:auto val="1"/>
        <c:lblAlgn val="ctr"/>
        <c:lblOffset val="100"/>
        <c:noMultiLvlLbl val="0"/>
      </c:catAx>
      <c:valAx>
        <c:axId val="2016430719"/>
        <c:scaling>
          <c:orientation val="minMax"/>
        </c:scaling>
        <c:delete val="0"/>
        <c:axPos val="b"/>
        <c:majorGridlines>
          <c:spPr>
            <a:ln w="9525"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cs-CZ"/>
          </a:p>
        </c:txPr>
        <c:crossAx val="2016428927"/>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cs-CZ"/>
    </a:p>
  </c:txPr>
  <c:externalData r:id="rId4">
    <c:autoUpdate val="0"/>
  </c:externalData>
</c:chartSpace>
</file>

<file path=word/charts/colors1.xml><?xml version="1.0" encoding="utf-8"?>
<cs:colorStyle xmlns:cs="http://schemas.microsoft.com/office/drawing/2012/chartStyle" xmlns:a="http://schemas.openxmlformats.org/drawingml/2006/main" meth="withinLinear" id="18">
  <a:schemeClr val="accent5"/>
</cs:colorStyle>
</file>

<file path=word/charts/style1.xml><?xml version="1.0" encoding="utf-8"?>
<cs:chartStyle xmlns:cs="http://schemas.microsoft.com/office/drawing/2012/chartStyle" xmlns:a="http://schemas.openxmlformats.org/drawingml/2006/main" id="21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Narrow"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1aqoFh0vrY28K3HN/I8n3g4vVeg==">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</go:docsCustomData>
</go:gDocsCustomXmlDataStorage>
</file>

<file path=customXml/itemProps1.xml><?xml version="1.0" encoding="utf-8"?>
<ds:datastoreItem xmlns:ds="http://schemas.openxmlformats.org/officeDocument/2006/customXml" ds:itemID="{51CAEB60-635D-A042-908C-72DCF0687205}">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19</Pages>
  <Words>28996</Words>
  <Characters>172527</Characters>
  <Application>Microsoft Office Word</Application>
  <DocSecurity>0</DocSecurity>
  <Lines>6161</Lines>
  <Paragraphs>2798</Paragraphs>
  <ScaleCrop>false</ScaleCrop>
  <HeadingPairs>
    <vt:vector size="4" baseType="variant">
      <vt:variant>
        <vt:lpstr>Title</vt:lpstr>
      </vt:variant>
      <vt:variant>
        <vt:i4>1</vt:i4>
      </vt:variant>
      <vt:variant>
        <vt:lpstr>Název</vt:lpstr>
      </vt:variant>
      <vt:variant>
        <vt:i4>1</vt:i4>
      </vt:variant>
    </vt:vector>
  </HeadingPairs>
  <TitlesOfParts>
    <vt:vector size="2" baseType="lpstr">
      <vt:lpstr/>
      <vt:lpstr/>
    </vt:vector>
  </TitlesOfParts>
  <Company/>
  <LinksUpToDate>false</LinksUpToDate>
  <CharactersWithSpaces>198725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Ivana Kubátová</cp:lastModifiedBy>
  <cp:revision>2</cp:revision>
  <dcterms:created xsi:type="dcterms:W3CDTF">2026-05-05T20:07:00Z</dcterms:created>
  <dcterms:modified xsi:type="dcterms:W3CDTF">2026-05-05T20:07:00Z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Id 0_1">
    <vt:lpwstr>http://www.zotero.org/styles/american-medical-association</vt:lpwstr>
  </property>
  <property fmtid="{D5CDD505-2E9C-101B-9397-08002B2CF9AE}" pid="3" name="Mendeley Recent Style Name 0_1">
    <vt:lpwstr>American Medical Association 11th edition</vt:lpwstr>
  </property>
  <property fmtid="{D5CDD505-2E9C-101B-9397-08002B2CF9AE}" pid="4" name="Mendeley Recent Style Id 1_1">
    <vt:lpwstr>http://www.zotero.org/styles/american-political-science-association</vt:lpwstr>
  </property>
  <property fmtid="{D5CDD505-2E9C-101B-9397-08002B2CF9AE}" pid="5" name="Mendeley Recent Style Name 1_1">
    <vt:lpwstr>American Political Science Association</vt:lpwstr>
  </property>
  <property fmtid="{D5CDD505-2E9C-101B-9397-08002B2CF9AE}" pid="6" name="Mendeley Recent Style Id 2_1">
    <vt:lpwstr>http://www.zotero.org/styles/apa</vt:lpwstr>
  </property>
  <property fmtid="{D5CDD505-2E9C-101B-9397-08002B2CF9AE}" pid="7" name="Mendeley Recent Style Name 2_1">
    <vt:lpwstr>American Psychological Association 7th edition</vt:lpwstr>
  </property>
  <property fmtid="{D5CDD505-2E9C-101B-9397-08002B2CF9AE}" pid="8" name="Mendeley Recent Style Id 3_1">
    <vt:lpwstr>http://www.zotero.org/styles/american-sociological-association</vt:lpwstr>
  </property>
  <property fmtid="{D5CDD505-2E9C-101B-9397-08002B2CF9AE}" pid="9" name="Mendeley Recent Style Name 3_1">
    <vt:lpwstr>American Sociological Association 6th edition</vt:lpwstr>
  </property>
  <property fmtid="{D5CDD505-2E9C-101B-9397-08002B2CF9AE}" pid="10" name="Mendeley Recent Style Id 4_1">
    <vt:lpwstr>http://www.zotero.org/styles/chicago-author-date</vt:lpwstr>
  </property>
  <property fmtid="{D5CDD505-2E9C-101B-9397-08002B2CF9AE}" pid="11" name="Mendeley Recent Style Name 4_1">
    <vt:lpwstr>Chicago Manual of Style 17th edition (author-date)</vt:lpwstr>
  </property>
  <property fmtid="{D5CDD505-2E9C-101B-9397-08002B2CF9AE}" pid="12" name="Mendeley Recent Style Id 5_1">
    <vt:lpwstr>http://www.zotero.org/styles/harvard-cite-them-right</vt:lpwstr>
  </property>
  <property fmtid="{D5CDD505-2E9C-101B-9397-08002B2CF9AE}" pid="13" name="Mendeley Recent Style Name 5_1">
    <vt:lpwstr>Cite Them Right 10th edition - Harvard</vt:lpwstr>
  </property>
  <property fmtid="{D5CDD505-2E9C-101B-9397-08002B2CF9AE}" pid="14" name="Mendeley Recent Style Id 6_1">
    <vt:lpwstr>http://www.zotero.org/styles/ieee</vt:lpwstr>
  </property>
  <property fmtid="{D5CDD505-2E9C-101B-9397-08002B2CF9AE}" pid="15" name="Mendeley Recent Style Name 6_1">
    <vt:lpwstr>IEEE</vt:lpwstr>
  </property>
  <property fmtid="{D5CDD505-2E9C-101B-9397-08002B2CF9AE}" pid="16" name="Mendeley Recent Style Id 7_1">
    <vt:lpwstr>http://www.zotero.org/styles/ieee-transactions-on-biomedical-engineering</vt:lpwstr>
  </property>
  <property fmtid="{D5CDD505-2E9C-101B-9397-08002B2CF9AE}" pid="17" name="Mendeley Recent Style Name 7_1">
    <vt:lpwstr>IEEE Transactions on Biomedical Engineering</vt:lpwstr>
  </property>
  <property fmtid="{D5CDD505-2E9C-101B-9397-08002B2CF9AE}" pid="18" name="Mendeley Recent Style Id 8_1">
    <vt:lpwstr>http://www.zotero.org/styles/iso690-numeric-brackets-cs</vt:lpwstr>
  </property>
  <property fmtid="{D5CDD505-2E9C-101B-9397-08002B2CF9AE}" pid="19" name="Mendeley Recent Style Name 8_1">
    <vt:lpwstr>ISO-690 (numeric, brackets, Czech)</vt:lpwstr>
  </property>
  <property fmtid="{D5CDD505-2E9C-101B-9397-08002B2CF9AE}" pid="20" name="Mendeley Recent Style Id 9_1">
    <vt:lpwstr>http://www.zotero.org/styles/modern-humanities-research-association</vt:lpwstr>
  </property>
  <property fmtid="{D5CDD505-2E9C-101B-9397-08002B2CF9AE}" pid="21" name="Mendeley Recent Style Name 9_1">
    <vt:lpwstr>Modern Humanities Research Association 3rd edition (note with bibliography)</vt:lpwstr>
  </property>
  <property fmtid="{D5CDD505-2E9C-101B-9397-08002B2CF9AE}" pid="22" name="Mendeley Document_1">
    <vt:lpwstr>True</vt:lpwstr>
  </property>
  <property fmtid="{D5CDD505-2E9C-101B-9397-08002B2CF9AE}" pid="23" name="Mendeley Unique User Id_1">
    <vt:lpwstr>cc260120-f603-37fb-a4e6-7b869f61a944</vt:lpwstr>
  </property>
  <property fmtid="{D5CDD505-2E9C-101B-9397-08002B2CF9AE}" pid="24" name="Mendeley Citation Style_1">
    <vt:lpwstr>http://www.zotero.org/styles/iso690-numeric-brackets-cs</vt:lpwstr>
  </property>
</Properties>
</file>